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908" w:rsidRDefault="002C3908" w:rsidP="002C3908">
      <w:pPr>
        <w:pStyle w:val="Zv-Titlereport"/>
      </w:pPr>
      <w:r>
        <w:t>ДВУХМЕРНОЕ ПОЛНОВОЛНОВОЕ МОДЕЛИРОВАНИЕ РАСПРОСТРАНЕНИЯ И ПОГЛОЩЕНИЯ СВЧ-ПУЧКА В ЗАМАГНИЧЕННОЙ ПЛАЗМЕ</w:t>
      </w:r>
    </w:p>
    <w:p w:rsidR="002C3908" w:rsidRDefault="002C3908" w:rsidP="002C3908">
      <w:pPr>
        <w:pStyle w:val="Zv-Author"/>
      </w:pPr>
      <w:r w:rsidRPr="00B15E7B">
        <w:rPr>
          <w:bCs w:val="0"/>
        </w:rPr>
        <w:t>Сахаров А.С.</w:t>
      </w:r>
    </w:p>
    <w:p w:rsidR="002C3908" w:rsidRPr="002C3908" w:rsidRDefault="002C3908" w:rsidP="002C3908">
      <w:pPr>
        <w:pStyle w:val="Zv-Organization"/>
        <w:rPr>
          <w:rFonts w:eastAsia="Calibri"/>
          <w:iCs/>
          <w:color w:val="000000"/>
          <w:szCs w:val="24"/>
          <w:u w:val="single"/>
        </w:rPr>
      </w:pPr>
      <w:r w:rsidRPr="00B15E7B">
        <w:rPr>
          <w:rFonts w:eastAsia="Calibri"/>
          <w:iCs/>
          <w:color w:val="000000"/>
          <w:szCs w:val="24"/>
        </w:rPr>
        <w:t xml:space="preserve">ИОФ РАН, Москва, Россия, </w:t>
      </w:r>
      <w:hyperlink r:id="rId7" w:history="1">
        <w:r w:rsidRPr="003B5DCE">
          <w:rPr>
            <w:rStyle w:val="a8"/>
            <w:rFonts w:eastAsia="Calibri"/>
            <w:iCs/>
            <w:szCs w:val="24"/>
          </w:rPr>
          <w:t>sakharov_as@mail.ru</w:t>
        </w:r>
      </w:hyperlink>
    </w:p>
    <w:p w:rsidR="001334F7" w:rsidRPr="00DB7695" w:rsidRDefault="001334F7" w:rsidP="001334F7">
      <w:pPr>
        <w:pStyle w:val="Zv-bodyreport"/>
      </w:pPr>
      <w:r>
        <w:rPr>
          <w:noProof/>
          <w:lang w:val="az-Cyrl-AZ"/>
        </w:rPr>
        <w:t xml:space="preserve">Разработан двухмерный полноволновой численный код для расчета распространения необыкновенно поляризованного СВЧ-пучка поперек внешнего магнитного поля в неоднородной плазме. Для описания взаимодействия СВЧ-поля с плазмой вблизи резонанса на второй гармонике электронно-циклотронной частоты используется полученное в </w:t>
      </w:r>
      <w:r w:rsidRPr="00DB7695">
        <w:rPr>
          <w:noProof/>
        </w:rPr>
        <w:t>[</w:t>
      </w:r>
      <w:r>
        <w:rPr>
          <w:noProof/>
        </w:rPr>
        <w:t>1</w:t>
      </w:r>
      <w:r w:rsidRPr="00DB7695">
        <w:rPr>
          <w:noProof/>
        </w:rPr>
        <w:t>]</w:t>
      </w:r>
      <w:r>
        <w:rPr>
          <w:noProof/>
        </w:rPr>
        <w:t xml:space="preserve"> операторное выражение для слаборелятивистской тепловой поправки к тензору диэлектрической проницаемости плазмы,</w:t>
      </w:r>
    </w:p>
    <w:p w:rsidR="001334F7" w:rsidRPr="009C2501" w:rsidRDefault="001334F7" w:rsidP="001334F7">
      <w:pPr>
        <w:pStyle w:val="Zv-formula"/>
      </w:pPr>
      <w:r w:rsidRPr="00181CEB">
        <w:t xml:space="preserve"> </w:t>
      </w:r>
      <w:r w:rsidRPr="00181CEB">
        <w:tab/>
      </w:r>
      <w:r w:rsidRPr="000C6523">
        <w:rPr>
          <w:position w:val="-32"/>
        </w:rPr>
        <w:object w:dxaOrig="21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05.75pt;height:38.25pt" o:ole="">
            <v:imagedata r:id="rId8" o:title=""/>
          </v:shape>
          <o:OLEObject Type="Embed" ProgID="Equation.DSMT4" ShapeID="_x0000_i1041" DrawAspect="Content" ObjectID="_1579700707" r:id="rId9"/>
        </w:object>
      </w:r>
      <w:r>
        <w:t>,</w:t>
      </w:r>
      <w:r w:rsidRPr="009C2501">
        <w:tab/>
        <w:t>(1)</w:t>
      </w:r>
    </w:p>
    <w:p w:rsidR="001334F7" w:rsidRPr="00DB7695" w:rsidRDefault="001334F7" w:rsidP="001334F7">
      <w:pPr>
        <w:pStyle w:val="Zv-bodyreportcont"/>
      </w:pPr>
      <w:r>
        <w:t>где</w:t>
      </w:r>
    </w:p>
    <w:p w:rsidR="001334F7" w:rsidRPr="009C2501" w:rsidRDefault="001334F7" w:rsidP="001334F7">
      <w:pPr>
        <w:pStyle w:val="Zv-formula"/>
      </w:pPr>
      <w:r w:rsidRPr="00181CEB">
        <w:tab/>
      </w:r>
      <w:r w:rsidRPr="000C6523">
        <w:rPr>
          <w:position w:val="-18"/>
        </w:rPr>
        <w:object w:dxaOrig="2980" w:dyaOrig="480">
          <v:shape id="_x0000_i1042" type="#_x0000_t75" style="width:149.25pt;height:24pt" o:ole="">
            <v:imagedata r:id="rId10" o:title=""/>
          </v:shape>
          <o:OLEObject Type="Embed" ProgID="Equation.DSMT4" ShapeID="_x0000_i1042" DrawAspect="Content" ObjectID="_1579700708" r:id="rId11"/>
        </w:object>
      </w:r>
      <w:r>
        <w:t>,</w:t>
      </w:r>
      <w:r>
        <w:tab/>
        <w:t>(</w:t>
      </w:r>
      <w:r w:rsidRPr="00DB7695">
        <w:t>2</w:t>
      </w:r>
      <w:r w:rsidRPr="009C2501">
        <w:t>)</w:t>
      </w:r>
    </w:p>
    <w:p w:rsidR="001334F7" w:rsidRPr="00DB7695" w:rsidRDefault="001334F7" w:rsidP="001334F7">
      <w:pPr>
        <w:pStyle w:val="Zv-bodyreportcont"/>
      </w:pPr>
      <w:r w:rsidRPr="006114C6">
        <w:rPr>
          <w:position w:val="-18"/>
        </w:rPr>
        <w:object w:dxaOrig="4720" w:dyaOrig="480">
          <v:shape id="_x0000_i1043" type="#_x0000_t75" style="width:236.25pt;height:24pt" o:ole="">
            <v:imagedata r:id="rId12" o:title=""/>
          </v:shape>
          <o:OLEObject Type="Embed" ProgID="Equation.DSMT4" ShapeID="_x0000_i1043" DrawAspect="Content" ObjectID="_1579700709" r:id="rId13"/>
        </w:object>
      </w:r>
      <w:r>
        <w:t xml:space="preserve">, </w:t>
      </w:r>
      <w:r w:rsidRPr="000C6523">
        <w:rPr>
          <w:position w:val="-12"/>
        </w:rPr>
        <w:object w:dxaOrig="1840" w:dyaOrig="360">
          <v:shape id="_x0000_i1044" type="#_x0000_t75" style="width:92.25pt;height:18pt" o:ole="">
            <v:imagedata r:id="rId14" o:title=""/>
          </v:shape>
          <o:OLEObject Type="Embed" ProgID="Equation.DSMT4" ShapeID="_x0000_i1044" DrawAspect="Content" ObjectID="_1579700710" r:id="rId15"/>
        </w:object>
      </w:r>
      <w:r>
        <w:t xml:space="preserve">, </w:t>
      </w:r>
      <w:r w:rsidRPr="000C6523">
        <w:rPr>
          <w:position w:val="-10"/>
        </w:rPr>
        <w:object w:dxaOrig="2060" w:dyaOrig="380">
          <v:shape id="_x0000_i1045" type="#_x0000_t75" style="width:102.75pt;height:18.75pt" o:ole="">
            <v:imagedata r:id="rId16" o:title=""/>
          </v:shape>
          <o:OLEObject Type="Embed" ProgID="Equation.DSMT4" ShapeID="_x0000_i1045" DrawAspect="Content" ObjectID="_1579700711" r:id="rId17"/>
        </w:object>
      </w:r>
      <w:r>
        <w:t xml:space="preserve">, </w:t>
      </w:r>
      <w:r w:rsidRPr="000F31F8">
        <w:rPr>
          <w:position w:val="-14"/>
        </w:rPr>
        <w:object w:dxaOrig="780" w:dyaOrig="400">
          <v:shape id="_x0000_i1046" type="#_x0000_t75" style="width:39pt;height:20.25pt" o:ole="">
            <v:imagedata r:id="rId18" o:title=""/>
          </v:shape>
          <o:OLEObject Type="Embed" ProgID="Equation.DSMT4" ShapeID="_x0000_i1046" DrawAspect="Content" ObjectID="_1579700712" r:id="rId19"/>
        </w:object>
      </w:r>
      <w:r>
        <w:t xml:space="preserve"> </w:t>
      </w:r>
      <w:r>
        <w:sym w:font="Symbol" w:char="F02D"/>
      </w:r>
      <w:r>
        <w:t xml:space="preserve"> функция Днестровского, </w:t>
      </w:r>
      <w:r w:rsidRPr="000C6523">
        <w:rPr>
          <w:position w:val="-12"/>
        </w:rPr>
        <w:object w:dxaOrig="1840" w:dyaOrig="400">
          <v:shape id="_x0000_i1047" type="#_x0000_t75" style="width:92.25pt;height:20.25pt" o:ole="">
            <v:imagedata r:id="rId20" o:title=""/>
          </v:shape>
          <o:OLEObject Type="Embed" ProgID="Equation.DSMT4" ShapeID="_x0000_i1047" DrawAspect="Content" ObjectID="_1579700713" r:id="rId21"/>
        </w:object>
      </w:r>
      <w:r>
        <w:t xml:space="preserve">, </w:t>
      </w:r>
      <w:r w:rsidRPr="00845607">
        <w:rPr>
          <w:position w:val="-12"/>
        </w:rPr>
        <w:object w:dxaOrig="460" w:dyaOrig="360">
          <v:shape id="_x0000_i1048" type="#_x0000_t75" style="width:23.25pt;height:18pt" o:ole="">
            <v:imagedata r:id="rId22" o:title=""/>
          </v:shape>
          <o:OLEObject Type="Embed" ProgID="Equation.DSMT4" ShapeID="_x0000_i1048" DrawAspect="Content" ObjectID="_1579700714" r:id="rId23"/>
        </w:object>
      </w:r>
      <w:r>
        <w:t xml:space="preserve"> </w:t>
      </w:r>
      <w:r>
        <w:sym w:font="Symbol" w:char="F02D"/>
      </w:r>
      <w:r>
        <w:t xml:space="preserve"> нерелятивистская электронно-циклотронная частота.</w:t>
      </w:r>
    </w:p>
    <w:p w:rsidR="001334F7" w:rsidRPr="00DB7695" w:rsidRDefault="001334F7" w:rsidP="001334F7">
      <w:pPr>
        <w:pStyle w:val="Zv-bodyreport"/>
        <w:rPr>
          <w:rFonts w:eastAsia="Newton-Regular"/>
        </w:rPr>
      </w:pPr>
      <w:r>
        <w:rPr>
          <w:rFonts w:eastAsia="Newton-Regular"/>
        </w:rPr>
        <w:t>Представлены результаты решения модельной дву</w:t>
      </w:r>
      <w:r>
        <w:rPr>
          <w:rFonts w:eastAsia="Newton-Regular"/>
          <w:lang w:val="en-US"/>
        </w:rPr>
        <w:t>x</w:t>
      </w:r>
      <w:r>
        <w:rPr>
          <w:rFonts w:eastAsia="Newton-Regular"/>
        </w:rPr>
        <w:t>мерной задачи о распространении и поглощении СВЧ-пучка в плазме для магнитной конфигурации стелларатора Л-2М. Рассчитаны коэффициенты поглощения и отражения СВЧ-излучения. Получены распределения СВЧ-мощности, поглощаемой в плазме. Обнаружено, что в условиях типичных для экспериментов по нагреву плазмы на второй гармонике электронно-циклотронной частоты на стеллараторе Л2-М заметная доля (</w:t>
      </w:r>
      <w:r>
        <w:rPr>
          <w:rFonts w:eastAsia="Newton-Regular"/>
        </w:rPr>
        <w:sym w:font="Symbol" w:char="F0BB"/>
      </w:r>
      <w:r>
        <w:rPr>
          <w:rFonts w:eastAsia="Newton-Regular"/>
        </w:rPr>
        <w:t>10%) вводимой СВЧ-мощности может отклоняться вниз, не достигая области поглощения. Показано, что доля отклоненной вниз СВЧ-мощности возрастает существенно при значениях центральной плотности плазмы близких к плотности отсечки (</w:t>
      </w:r>
      <w:r w:rsidRPr="005A4596">
        <w:rPr>
          <w:rFonts w:eastAsia="Newton-Regular"/>
          <w:i/>
        </w:rPr>
        <w:t>n</w:t>
      </w:r>
      <w:r w:rsidRPr="005A4596">
        <w:rPr>
          <w:rFonts w:eastAsia="Newton-Regular"/>
          <w:i/>
          <w:vertAlign w:val="subscript"/>
        </w:rPr>
        <w:t>e</w:t>
      </w:r>
      <w:r>
        <w:rPr>
          <w:rFonts w:eastAsia="Newton-Regular"/>
        </w:rPr>
        <w:t xml:space="preserve"> </w:t>
      </w:r>
      <w:r>
        <w:rPr>
          <w:rFonts w:eastAsia="Newton-Regular"/>
        </w:rPr>
        <w:sym w:font="Symbol" w:char="F0BB"/>
      </w:r>
      <w:r>
        <w:rPr>
          <w:rFonts w:eastAsia="Newton-Regular"/>
        </w:rPr>
        <w:t xml:space="preserve"> (0.8</w:t>
      </w:r>
      <w:r>
        <w:rPr>
          <w:rFonts w:eastAsia="Newton-Regular"/>
        </w:rPr>
        <w:sym w:font="Symbol" w:char="F02D"/>
      </w:r>
      <w:r>
        <w:rPr>
          <w:rFonts w:eastAsia="Newton-Regular"/>
        </w:rPr>
        <w:t>0.9)</w:t>
      </w:r>
      <w:r w:rsidRPr="00670726">
        <w:rPr>
          <w:rFonts w:eastAsia="Newton-Regular"/>
          <w:i/>
        </w:rPr>
        <w:t>n</w:t>
      </w:r>
      <w:r w:rsidRPr="00670726">
        <w:rPr>
          <w:rFonts w:eastAsia="Newton-Regular"/>
          <w:vertAlign w:val="subscript"/>
        </w:rPr>
        <w:t>cut</w:t>
      </w:r>
      <w:r>
        <w:rPr>
          <w:rFonts w:eastAsia="Newton-Regular"/>
        </w:rPr>
        <w:t>). Проведено сравнение с результатами расчета с помощью метода лучевых траекторий.</w:t>
      </w:r>
    </w:p>
    <w:p w:rsidR="001334F7" w:rsidRPr="001334F7" w:rsidRDefault="001334F7" w:rsidP="001334F7">
      <w:pPr>
        <w:pStyle w:val="Zv-bodyreport"/>
      </w:pPr>
      <w:r w:rsidRPr="000C6523">
        <w:t>Работа выполн</w:t>
      </w:r>
      <w:r>
        <w:t>ена в рамках г</w:t>
      </w:r>
      <w:r w:rsidRPr="000C6523">
        <w:t xml:space="preserve">осзадания </w:t>
      </w:r>
      <w:r>
        <w:t xml:space="preserve">по теме № </w:t>
      </w:r>
      <w:r w:rsidRPr="006357FB">
        <w:rPr>
          <w:bCs/>
          <w:color w:val="000000"/>
        </w:rPr>
        <w:t>АААА-А18-118013000279-8</w:t>
      </w:r>
      <w:r>
        <w:rPr>
          <w:bCs/>
          <w:color w:val="000000"/>
        </w:rPr>
        <w:t xml:space="preserve"> </w:t>
      </w:r>
      <w:r w:rsidRPr="000C6523">
        <w:t>“</w:t>
      </w:r>
      <w:r w:rsidRPr="009E0DED">
        <w:t>Фундаментальные проблемы динамики, удержания и нагрева плазмы в трехмерных магнитных конфигурациях</w:t>
      </w:r>
      <w:r>
        <w:t>”</w:t>
      </w:r>
      <w:r w:rsidRPr="000C6523">
        <w:t>.</w:t>
      </w:r>
    </w:p>
    <w:p w:rsidR="002C3908" w:rsidRDefault="002C3908" w:rsidP="001334F7">
      <w:pPr>
        <w:pStyle w:val="Zv-TitleReferences-ru"/>
      </w:pPr>
      <w:r>
        <w:t>Литература.</w:t>
      </w:r>
    </w:p>
    <w:p w:rsidR="002C3908" w:rsidRPr="00B15E7B" w:rsidRDefault="002C3908" w:rsidP="002C3908">
      <w:pPr>
        <w:pStyle w:val="Zv-References-ru"/>
        <w:numPr>
          <w:ilvl w:val="0"/>
          <w:numId w:val="1"/>
        </w:numPr>
        <w:rPr>
          <w:szCs w:val="24"/>
        </w:rPr>
      </w:pPr>
      <w:r w:rsidRPr="00B15E7B">
        <w:rPr>
          <w:szCs w:val="24"/>
        </w:rPr>
        <w:t>Сахаров А.С. Физика плазмы. 2017. Т. 43. С. 903.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AA6" w:rsidRDefault="00C11AA6">
      <w:r>
        <w:separator/>
      </w:r>
    </w:p>
  </w:endnote>
  <w:endnote w:type="continuationSeparator" w:id="0">
    <w:p w:rsidR="00C11AA6" w:rsidRDefault="00C11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1A5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1A5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334F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AA6" w:rsidRDefault="00C11AA6">
      <w:r>
        <w:separator/>
      </w:r>
    </w:p>
  </w:footnote>
  <w:footnote w:type="continuationSeparator" w:id="0">
    <w:p w:rsidR="00C11AA6" w:rsidRDefault="00C11A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C3908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C1A5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1AA6"/>
    <w:rsid w:val="0002206C"/>
    <w:rsid w:val="00043701"/>
    <w:rsid w:val="000C657D"/>
    <w:rsid w:val="000C7078"/>
    <w:rsid w:val="000D76E9"/>
    <w:rsid w:val="000E495B"/>
    <w:rsid w:val="001334F7"/>
    <w:rsid w:val="001C0CCB"/>
    <w:rsid w:val="00220629"/>
    <w:rsid w:val="00247225"/>
    <w:rsid w:val="002551AC"/>
    <w:rsid w:val="002C3908"/>
    <w:rsid w:val="002E1A53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C1A58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11AA6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C39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hyperlink" Target="mailto:sakharov_as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header" Target="header3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7</TotalTime>
  <Pages>1</Pages>
  <Words>200</Words>
  <Characters>1755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ДВУХМЕРНОЕ ПОЛНОВОЛНОВОЕ МОДЕЛИРОВАНИЕ РАСПРОСТРАНЕНИЯ И ПОГЛОЩЕНИЯ СВЧ-ПУЧКА В ЗАМАГНИЧЕННОЙ ПЛАЗМЕ</dc:title>
  <dc:creator>sato</dc:creator>
  <cp:lastModifiedBy>Сатунин</cp:lastModifiedBy>
  <cp:revision>2</cp:revision>
  <cp:lastPrinted>1601-01-01T00:00:00Z</cp:lastPrinted>
  <dcterms:created xsi:type="dcterms:W3CDTF">2018-01-30T16:53:00Z</dcterms:created>
  <dcterms:modified xsi:type="dcterms:W3CDTF">2018-02-09T13:58:00Z</dcterms:modified>
</cp:coreProperties>
</file>