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41" w:rsidRDefault="00EC1A41" w:rsidP="00EC1A41">
      <w:pPr>
        <w:pStyle w:val="Zv-Titlereport"/>
      </w:pPr>
      <w:r>
        <w:t>Первые результаты экспериментальной проверки концепции винтового удержания</w:t>
      </w:r>
    </w:p>
    <w:p w:rsidR="00EC1A41" w:rsidRDefault="00EC1A41" w:rsidP="00EC1A41">
      <w:pPr>
        <w:pStyle w:val="Zv-Author"/>
      </w:pPr>
      <w:r w:rsidRPr="003A12E7">
        <w:rPr>
          <w:vertAlign w:val="superscript"/>
        </w:rPr>
        <w:t>1,2</w:t>
      </w:r>
      <w:r>
        <w:rPr>
          <w:lang w:val="en-US"/>
        </w:rPr>
        <w:t>C</w:t>
      </w:r>
      <w:r>
        <w:t>удников</w:t>
      </w:r>
      <w:r w:rsidRPr="003A12E7">
        <w:t xml:space="preserve"> </w:t>
      </w:r>
      <w:r>
        <w:t xml:space="preserve">А.В., </w:t>
      </w:r>
      <w:r w:rsidRPr="003A12E7">
        <w:rPr>
          <w:vertAlign w:val="superscript"/>
        </w:rPr>
        <w:t>1,2</w:t>
      </w:r>
      <w:r>
        <w:t>Беклемишев</w:t>
      </w:r>
      <w:r w:rsidRPr="003A12E7">
        <w:t xml:space="preserve"> </w:t>
      </w:r>
      <w:r>
        <w:t xml:space="preserve">А.Д., </w:t>
      </w:r>
      <w:r w:rsidRPr="003A12E7">
        <w:rPr>
          <w:vertAlign w:val="superscript"/>
        </w:rPr>
        <w:t>1,2</w:t>
      </w:r>
      <w:r>
        <w:t>Поступаев</w:t>
      </w:r>
      <w:r w:rsidRPr="003A12E7">
        <w:t xml:space="preserve"> </w:t>
      </w:r>
      <w:r>
        <w:t xml:space="preserve">В.В., </w:t>
      </w:r>
      <w:r w:rsidRPr="003A12E7">
        <w:rPr>
          <w:vertAlign w:val="superscript"/>
        </w:rPr>
        <w:t>1,2</w:t>
      </w:r>
      <w:r>
        <w:t>Иванов</w:t>
      </w:r>
      <w:r w:rsidRPr="003A12E7">
        <w:t xml:space="preserve"> </w:t>
      </w:r>
      <w:r>
        <w:t xml:space="preserve">И.А., </w:t>
      </w:r>
      <w:r w:rsidRPr="003A12E7">
        <w:rPr>
          <w:vertAlign w:val="superscript"/>
        </w:rPr>
        <w:t>2</w:t>
      </w:r>
      <w:r>
        <w:t>Инжеваткина</w:t>
      </w:r>
      <w:r w:rsidRPr="008A39DD">
        <w:t xml:space="preserve"> </w:t>
      </w:r>
      <w:r>
        <w:t xml:space="preserve">А.А., </w:t>
      </w:r>
      <w:r w:rsidRPr="003A12E7">
        <w:rPr>
          <w:vertAlign w:val="superscript"/>
        </w:rPr>
        <w:t>1</w:t>
      </w:r>
      <w:r>
        <w:t>Сидоров</w:t>
      </w:r>
      <w:r w:rsidRPr="003A12E7">
        <w:t xml:space="preserve"> </w:t>
      </w:r>
      <w:r>
        <w:t>Е.Н.</w:t>
      </w:r>
    </w:p>
    <w:p w:rsidR="00EC1A41" w:rsidRDefault="00EC1A41" w:rsidP="00EC1A41">
      <w:pPr>
        <w:pStyle w:val="Zv-Organization"/>
      </w:pPr>
      <w:r w:rsidRPr="00E66BD9">
        <w:rPr>
          <w:vertAlign w:val="superscript"/>
        </w:rPr>
        <w:t>1</w:t>
      </w:r>
      <w:r>
        <w:t xml:space="preserve">Институт ядерной физики им. Г. И. Будкера СО РАН, </w:t>
      </w:r>
      <w:hyperlink r:id="rId7" w:history="1">
        <w:r>
          <w:rPr>
            <w:rStyle w:val="a8"/>
            <w:lang w:val="en-US"/>
          </w:rPr>
          <w:t>A</w:t>
        </w:r>
        <w:r w:rsidRPr="003A12E7">
          <w:rPr>
            <w:rStyle w:val="a8"/>
          </w:rPr>
          <w:t>.</w:t>
        </w:r>
        <w:r>
          <w:rPr>
            <w:rStyle w:val="a8"/>
            <w:lang w:val="en-US"/>
          </w:rPr>
          <w:t>V</w:t>
        </w:r>
        <w:r w:rsidRPr="003A12E7">
          <w:rPr>
            <w:rStyle w:val="a8"/>
          </w:rPr>
          <w:t>.</w:t>
        </w:r>
        <w:r>
          <w:rPr>
            <w:rStyle w:val="a8"/>
            <w:lang w:val="en-US"/>
          </w:rPr>
          <w:t>Sudnikov</w:t>
        </w:r>
        <w:r w:rsidRPr="003A12E7">
          <w:rPr>
            <w:rStyle w:val="a8"/>
          </w:rPr>
          <w:t>@</w:t>
        </w:r>
        <w:r>
          <w:rPr>
            <w:rStyle w:val="a8"/>
            <w:lang w:val="en-US"/>
          </w:rPr>
          <w:t>inp</w:t>
        </w:r>
        <w:r w:rsidRPr="003A12E7">
          <w:rPr>
            <w:rStyle w:val="a8"/>
          </w:rPr>
          <w:t>.</w:t>
        </w:r>
        <w:r>
          <w:rPr>
            <w:rStyle w:val="a8"/>
            <w:lang w:val="en-US"/>
          </w:rPr>
          <w:t>nsk</w:t>
        </w:r>
        <w:r w:rsidRPr="003A12E7">
          <w:rPr>
            <w:rStyle w:val="a8"/>
          </w:rPr>
          <w:t>.</w:t>
        </w:r>
        <w:r>
          <w:rPr>
            <w:rStyle w:val="a8"/>
            <w:lang w:val="en-US"/>
          </w:rPr>
          <w:t>su</w:t>
        </w:r>
      </w:hyperlink>
      <w:r>
        <w:t>,</w:t>
      </w:r>
      <w:r>
        <w:br/>
      </w:r>
      <w:r w:rsidRPr="00E66BD9">
        <w:rPr>
          <w:vertAlign w:val="superscript"/>
        </w:rPr>
        <w:t>2</w:t>
      </w:r>
      <w:r>
        <w:t>Новосибирский государственный университет.</w:t>
      </w:r>
    </w:p>
    <w:p w:rsidR="00EC1A41" w:rsidRPr="00A37A61" w:rsidRDefault="00EC1A41" w:rsidP="00EC1A41">
      <w:pPr>
        <w:pStyle w:val="Zv-bodyreport"/>
      </w:pPr>
      <w:r>
        <w:t>Для улучшения энергетического времени жизни плазмы и повышения термоядерной эффективности открытых ловушек следующего поколения была предложена концепция подавления продольных потерь из открытой ловушки газодинамического типа винтовыми пробками с управляемым вращением плазмы [</w:t>
      </w:r>
      <w:r w:rsidRPr="00A37A61">
        <w:t>1</w:t>
      </w:r>
      <w:r>
        <w:t>]</w:t>
      </w:r>
      <w:r w:rsidRPr="00A37A61">
        <w:t>.</w:t>
      </w:r>
      <w:r>
        <w:t xml:space="preserve"> Теоретически предсказана экспоненциальная зависимость эффективности подавления потерь от длины участка с винтовым полем, приводящая к существенному повышению эффективного пробочного отношения в открытой ловушке [2].</w:t>
      </w:r>
    </w:p>
    <w:p w:rsidR="00EC1A41" w:rsidRPr="00164DBC" w:rsidRDefault="00EC1A41" w:rsidP="00EC1A41">
      <w:pPr>
        <w:pStyle w:val="Zv-bodyreport"/>
      </w:pPr>
      <w:r>
        <w:t xml:space="preserve">В настоящий момент в ИЯФ СО РАН вводится в эксплуатацию экспериментальная установка «СМОЛА», предназначенная для проверки концепции винтового удержания [3]. Основной частью установки является уединённая «винтовая пробка» длиной 216 см, содержащая 12 периодов винтового поля. Соотношение винтовой и продольной компонент магнитного поля в винтовой секции может быть произвольно изменено. Вращение плазмы задаётся за счёт создания контролируемого профиля радиального электрического поля. Система создания радиального электрического поля схожа с системой вихревого удержания плазмы в ГДЛ и может быть также использована для стабилизации плазменного шнура. Плазма запирается между указанной «уединённой пробкой» и источником плазмы, расположенным в локальном максимуме поля. Эффективность предложенной концепции может быть определена по изменению параметров плазмы вдоль винтовой секции в различных режимах магнитного и электрического поля. В проект заложены следующие параметры плазмы: плотность </w:t>
      </w:r>
      <w:r w:rsidRPr="007D6D25">
        <w:rPr>
          <w:lang w:val="en-US"/>
        </w:rPr>
        <w:t>n</w:t>
      </w:r>
      <w:r w:rsidRPr="007D6D25">
        <w:rPr>
          <w:vertAlign w:val="subscript"/>
          <w:lang w:val="en-US"/>
        </w:rPr>
        <w:t>i</w:t>
      </w:r>
      <w:r w:rsidRPr="007D6D25">
        <w:t xml:space="preserve"> ~ 10</w:t>
      </w:r>
      <w:r w:rsidRPr="007D6D25">
        <w:rPr>
          <w:vertAlign w:val="superscript"/>
        </w:rPr>
        <w:t>19</w:t>
      </w:r>
      <w:r w:rsidRPr="007D6D25">
        <w:t xml:space="preserve"> </w:t>
      </w:r>
      <w:r>
        <w:t>м</w:t>
      </w:r>
      <w:r w:rsidRPr="007D6D25">
        <w:rPr>
          <w:vertAlign w:val="superscript"/>
        </w:rPr>
        <w:t>-3</w:t>
      </w:r>
      <w:r w:rsidRPr="007D6D25">
        <w:t xml:space="preserve">, </w:t>
      </w:r>
      <w:r>
        <w:t xml:space="preserve">температура </w:t>
      </w:r>
      <w:r w:rsidRPr="007D6D25">
        <w:rPr>
          <w:lang w:val="en-US"/>
        </w:rPr>
        <w:t>T</w:t>
      </w:r>
      <w:r w:rsidRPr="007D6D25">
        <w:rPr>
          <w:vertAlign w:val="subscript"/>
          <w:lang w:val="en-US"/>
        </w:rPr>
        <w:t>i</w:t>
      </w:r>
      <w:r w:rsidRPr="007D6D25">
        <w:t xml:space="preserve"> = 10</w:t>
      </w:r>
      <w:r>
        <w:t xml:space="preserve"> </w:t>
      </w:r>
      <w:r w:rsidRPr="007D6D25">
        <w:t xml:space="preserve">– 100 </w:t>
      </w:r>
      <w:r>
        <w:t>эВ</w:t>
      </w:r>
      <w:r w:rsidRPr="007D6D25">
        <w:t xml:space="preserve">, </w:t>
      </w:r>
      <w:r>
        <w:t xml:space="preserve">ведущее магнитное поле в винтовой секции </w:t>
      </w:r>
      <w:r w:rsidRPr="007D6D25">
        <w:rPr>
          <w:lang w:val="en-US"/>
        </w:rPr>
        <w:t>B</w:t>
      </w:r>
      <w:r w:rsidRPr="007D6D25">
        <w:rPr>
          <w:vertAlign w:val="subscript"/>
          <w:lang w:val="en-US"/>
        </w:rPr>
        <w:t>max</w:t>
      </w:r>
      <w:r w:rsidRPr="007D6D25">
        <w:t xml:space="preserve"> = 0.1 – 0.3</w:t>
      </w:r>
      <w:r>
        <w:t> Т</w:t>
      </w:r>
      <w:r w:rsidRPr="007D6D25">
        <w:t xml:space="preserve">, </w:t>
      </w:r>
      <w:r>
        <w:t xml:space="preserve">радиальное электрическое поле до </w:t>
      </w:r>
      <w:r w:rsidRPr="007D6D25">
        <w:rPr>
          <w:lang w:val="en-US"/>
        </w:rPr>
        <w:t>E</w:t>
      </w:r>
      <w:r w:rsidRPr="007D6D25">
        <w:rPr>
          <w:vertAlign w:val="subscript"/>
          <w:lang w:val="en-US"/>
        </w:rPr>
        <w:t>r</w:t>
      </w:r>
      <w:r>
        <w:t> </w:t>
      </w:r>
      <w:r w:rsidRPr="007D6D25">
        <w:t>~</w:t>
      </w:r>
      <w:r>
        <w:t> </w:t>
      </w:r>
      <w:r w:rsidRPr="007D6D25">
        <w:t xml:space="preserve">100 </w:t>
      </w:r>
      <w:r>
        <w:t>В/см</w:t>
      </w:r>
      <w:r w:rsidRPr="007D6D25">
        <w:t xml:space="preserve">, </w:t>
      </w:r>
      <w:r>
        <w:t xml:space="preserve">радиус плазмы </w:t>
      </w:r>
      <w:r w:rsidRPr="007D6D25">
        <w:rPr>
          <w:lang w:val="en-US"/>
        </w:rPr>
        <w:t>r</w:t>
      </w:r>
      <w:r>
        <w:t> </w:t>
      </w:r>
      <w:r w:rsidRPr="007D6D25">
        <w:t>~</w:t>
      </w:r>
      <w:r>
        <w:t> </w:t>
      </w:r>
      <w:r w:rsidRPr="007D6D25">
        <w:t>5</w:t>
      </w:r>
      <w:r>
        <w:t> см</w:t>
      </w:r>
      <w:r w:rsidRPr="007D6D25">
        <w:t xml:space="preserve">, </w:t>
      </w:r>
      <w:r>
        <w:t xml:space="preserve">период винтового поля 18 см, средняя по сечению глубина перепада магнитного поля вдоль силовой линии </w:t>
      </w:r>
      <w:r w:rsidRPr="007D6D25">
        <w:rPr>
          <w:lang w:val="en-US"/>
        </w:rPr>
        <w:t>R</w:t>
      </w:r>
      <w:r w:rsidRPr="007D6D25">
        <w:rPr>
          <w:vertAlign w:val="subscript"/>
          <w:lang w:val="en-US"/>
        </w:rPr>
        <w:t>mean</w:t>
      </w:r>
      <w:r w:rsidRPr="007D6D25">
        <w:t xml:space="preserve"> = 1.5 – 2, </w:t>
      </w:r>
      <w:r>
        <w:t>длительность удержания τ = 0.1 с [4]. Указанный диапазон экспериментальных параметров достаточен для подтверждения эффективности удержания и позволяет масштабировать винтовые секции для установок большего масштаба [3].</w:t>
      </w:r>
      <w:bookmarkStart w:id="0" w:name="_GoBack"/>
      <w:bookmarkEnd w:id="0"/>
    </w:p>
    <w:p w:rsidR="00EC1A41" w:rsidRDefault="00EC1A41" w:rsidP="00EC1A41">
      <w:pPr>
        <w:pStyle w:val="Zv-bodyreport"/>
      </w:pPr>
      <w:r>
        <w:t>В докладе представлены результаты первых экспериментов, связанных с физическим запуском установки, отработкой режимов работы источника плазмы, магнитной системы и ключевых диагностик и непосредственной проверкой концепции улучшенного удержания. Дальнейшие эксперименты предполагают получение базовых экспериментальных скейлингов, применимых к большим открытым ловушкам.</w:t>
      </w:r>
    </w:p>
    <w:p w:rsidR="00EC1A41" w:rsidRDefault="00EC1A41" w:rsidP="00EC1A41">
      <w:pPr>
        <w:pStyle w:val="Zv-bodyreport"/>
      </w:pPr>
      <w:r w:rsidRPr="00164DBC">
        <w:t>Работа выполнена при поддержке РНФ (проект 14-50-00080).</w:t>
      </w:r>
    </w:p>
    <w:p w:rsidR="00EC1A41" w:rsidRDefault="00EC1A41" w:rsidP="00EC1A41">
      <w:pPr>
        <w:pStyle w:val="Zv-bodyreport"/>
      </w:pPr>
    </w:p>
    <w:p w:rsidR="00EC1A41" w:rsidRDefault="00EC1A41" w:rsidP="00EC1A41">
      <w:pPr>
        <w:pStyle w:val="Zv-TitleReferences-ru"/>
      </w:pPr>
      <w:r>
        <w:t>Литература.</w:t>
      </w:r>
    </w:p>
    <w:p w:rsidR="00EC1A41" w:rsidRDefault="00EC1A41" w:rsidP="00EC1A41">
      <w:pPr>
        <w:pStyle w:val="Zv-References-ru"/>
        <w:numPr>
          <w:ilvl w:val="0"/>
          <w:numId w:val="1"/>
        </w:numPr>
      </w:pPr>
      <w:r w:rsidRPr="00A37A61">
        <w:rPr>
          <w:lang w:val="en-US"/>
        </w:rPr>
        <w:t xml:space="preserve">A. D. Beklemishev. Helicoidal System for Axial Plasma Pumping in Linear Traps // Fusion Science and Technology, V.63, N.1T, May 2013. </w:t>
      </w:r>
      <w:r w:rsidRPr="00D33632">
        <w:t>P.</w:t>
      </w:r>
      <w:r>
        <w:t>355</w:t>
      </w:r>
    </w:p>
    <w:p w:rsidR="00EC1A41" w:rsidRPr="004731EA" w:rsidRDefault="00EC1A41" w:rsidP="00EC1A41">
      <w:pPr>
        <w:pStyle w:val="Zv-References-ru"/>
        <w:numPr>
          <w:ilvl w:val="0"/>
          <w:numId w:val="1"/>
        </w:numPr>
        <w:rPr>
          <w:lang w:val="en-US"/>
        </w:rPr>
      </w:pPr>
      <w:r w:rsidRPr="004731EA">
        <w:rPr>
          <w:lang w:val="en-US"/>
        </w:rPr>
        <w:t>A</w:t>
      </w:r>
      <w:r w:rsidRPr="008A39DD">
        <w:rPr>
          <w:lang w:val="en-US"/>
        </w:rPr>
        <w:t>.</w:t>
      </w:r>
      <w:r w:rsidRPr="004731EA">
        <w:rPr>
          <w:lang w:val="en-US"/>
        </w:rPr>
        <w:t>D</w:t>
      </w:r>
      <w:r w:rsidRPr="008A39DD">
        <w:rPr>
          <w:lang w:val="en-US"/>
        </w:rPr>
        <w:t xml:space="preserve">. </w:t>
      </w:r>
      <w:r w:rsidRPr="004731EA">
        <w:rPr>
          <w:lang w:val="en-US"/>
        </w:rPr>
        <w:t>Beklemishev</w:t>
      </w:r>
      <w:r w:rsidRPr="008A39DD">
        <w:rPr>
          <w:lang w:val="en-US"/>
        </w:rPr>
        <w:t xml:space="preserve">. </w:t>
      </w:r>
      <w:r w:rsidRPr="004731EA">
        <w:rPr>
          <w:lang w:val="en-US"/>
        </w:rPr>
        <w:t>Radial</w:t>
      </w:r>
      <w:r w:rsidRPr="008A39DD">
        <w:rPr>
          <w:lang w:val="en-US"/>
        </w:rPr>
        <w:t xml:space="preserve"> </w:t>
      </w:r>
      <w:r w:rsidRPr="004731EA">
        <w:rPr>
          <w:lang w:val="en-US"/>
        </w:rPr>
        <w:t>and</w:t>
      </w:r>
      <w:r w:rsidRPr="008A39DD">
        <w:rPr>
          <w:lang w:val="en-US"/>
        </w:rPr>
        <w:t xml:space="preserve"> </w:t>
      </w:r>
      <w:r w:rsidRPr="004731EA">
        <w:rPr>
          <w:lang w:val="en-US"/>
        </w:rPr>
        <w:t>axial</w:t>
      </w:r>
      <w:r w:rsidRPr="008A39DD">
        <w:rPr>
          <w:lang w:val="en-US"/>
        </w:rPr>
        <w:t xml:space="preserve"> </w:t>
      </w:r>
      <w:r w:rsidRPr="004731EA">
        <w:rPr>
          <w:lang w:val="en-US"/>
        </w:rPr>
        <w:t>transport</w:t>
      </w:r>
      <w:r w:rsidRPr="008A39DD">
        <w:rPr>
          <w:lang w:val="en-US"/>
        </w:rPr>
        <w:t xml:space="preserve"> </w:t>
      </w:r>
      <w:r w:rsidRPr="004731EA">
        <w:rPr>
          <w:lang w:val="en-US"/>
        </w:rPr>
        <w:t>in</w:t>
      </w:r>
      <w:r w:rsidRPr="008A39DD">
        <w:rPr>
          <w:lang w:val="en-US"/>
        </w:rPr>
        <w:t xml:space="preserve"> </w:t>
      </w:r>
      <w:r w:rsidRPr="004731EA">
        <w:rPr>
          <w:lang w:val="en-US"/>
        </w:rPr>
        <w:t>trap</w:t>
      </w:r>
      <w:r w:rsidRPr="008A39DD">
        <w:rPr>
          <w:lang w:val="en-US"/>
        </w:rPr>
        <w:t xml:space="preserve"> </w:t>
      </w:r>
      <w:r w:rsidRPr="004731EA">
        <w:rPr>
          <w:lang w:val="en-US"/>
        </w:rPr>
        <w:t>sections</w:t>
      </w:r>
      <w:r w:rsidRPr="008A39DD">
        <w:rPr>
          <w:lang w:val="en-US"/>
        </w:rPr>
        <w:t xml:space="preserve"> </w:t>
      </w:r>
      <w:r w:rsidRPr="004731EA">
        <w:rPr>
          <w:lang w:val="en-US"/>
        </w:rPr>
        <w:t>with</w:t>
      </w:r>
      <w:r w:rsidRPr="008A39DD">
        <w:rPr>
          <w:lang w:val="en-US"/>
        </w:rPr>
        <w:t xml:space="preserve"> </w:t>
      </w:r>
      <w:r w:rsidRPr="004731EA">
        <w:rPr>
          <w:lang w:val="en-US"/>
        </w:rPr>
        <w:t>helical</w:t>
      </w:r>
      <w:r w:rsidRPr="008A39DD">
        <w:rPr>
          <w:lang w:val="en-US"/>
        </w:rPr>
        <w:t xml:space="preserve"> </w:t>
      </w:r>
      <w:r w:rsidRPr="004731EA">
        <w:rPr>
          <w:lang w:val="en-US"/>
        </w:rPr>
        <w:t>corrugation</w:t>
      </w:r>
      <w:r w:rsidRPr="008A39DD">
        <w:rPr>
          <w:lang w:val="en-US"/>
        </w:rPr>
        <w:t xml:space="preserve"> // </w:t>
      </w:r>
      <w:r w:rsidRPr="004731EA">
        <w:rPr>
          <w:lang w:val="en-US"/>
        </w:rPr>
        <w:t>AIP</w:t>
      </w:r>
      <w:r w:rsidRPr="008A39DD">
        <w:rPr>
          <w:lang w:val="en-US"/>
        </w:rPr>
        <w:t xml:space="preserve"> </w:t>
      </w:r>
      <w:r w:rsidRPr="004731EA">
        <w:rPr>
          <w:lang w:val="en-US"/>
        </w:rPr>
        <w:t>Conf</w:t>
      </w:r>
      <w:r w:rsidRPr="008A39DD">
        <w:rPr>
          <w:lang w:val="en-US"/>
        </w:rPr>
        <w:t xml:space="preserve">. </w:t>
      </w:r>
      <w:r w:rsidRPr="004731EA">
        <w:rPr>
          <w:lang w:val="en-US"/>
        </w:rPr>
        <w:t>Proc</w:t>
      </w:r>
      <w:r w:rsidRPr="00A37A61">
        <w:t xml:space="preserve">. 1771 (2016) 040006, </w:t>
      </w:r>
      <w:r w:rsidRPr="004731EA">
        <w:rPr>
          <w:lang w:val="en-US"/>
        </w:rPr>
        <w:t>doi</w:t>
      </w:r>
      <w:r>
        <w:t xml:space="preserve">: </w:t>
      </w:r>
      <w:r w:rsidRPr="00A37A61">
        <w:t>10.1063/1.4964191.</w:t>
      </w:r>
    </w:p>
    <w:p w:rsidR="00EC1A41" w:rsidRDefault="00EC1A41" w:rsidP="00EC1A41">
      <w:pPr>
        <w:pStyle w:val="Zv-References-ru"/>
        <w:numPr>
          <w:ilvl w:val="0"/>
          <w:numId w:val="1"/>
        </w:numPr>
        <w:rPr>
          <w:lang w:val="en-US"/>
        </w:rPr>
      </w:pPr>
      <w:r w:rsidRPr="004731EA">
        <w:rPr>
          <w:lang w:val="en-US"/>
        </w:rPr>
        <w:t>A. V. Su</w:t>
      </w:r>
      <w:r>
        <w:rPr>
          <w:lang w:val="en-US"/>
        </w:rPr>
        <w:t>d</w:t>
      </w:r>
      <w:r w:rsidRPr="004731EA">
        <w:rPr>
          <w:lang w:val="en-US"/>
        </w:rPr>
        <w:t>nikov et al. SMOLA device for helical mirror concept exploration // Fusion Engineering and Design 122C (2017) pp. 86-93, doi: 10.1016/j.fusengdes.2017.09.005.</w:t>
      </w:r>
    </w:p>
    <w:p w:rsidR="00EC1A41" w:rsidRPr="004731EA" w:rsidRDefault="00EC1A41" w:rsidP="00EC1A41">
      <w:pPr>
        <w:pStyle w:val="Zv-References-ru"/>
        <w:numPr>
          <w:ilvl w:val="0"/>
          <w:numId w:val="1"/>
        </w:numPr>
        <w:rPr>
          <w:lang w:val="en-US"/>
        </w:rPr>
      </w:pPr>
      <w:r w:rsidRPr="00164DBC">
        <w:rPr>
          <w:lang w:val="en-US"/>
        </w:rPr>
        <w:t xml:space="preserve">A. V. Sudnikov et al. Helical Mirrors for Active Plasma Flow Suppression in Linear Magnetic Traps // Proceedings of the 42nd EPS Conference on Plasma Physics. </w:t>
      </w:r>
      <w:r w:rsidRPr="008A39DD">
        <w:rPr>
          <w:lang w:val="en-US"/>
        </w:rPr>
        <w:t>P1.178</w:t>
      </w:r>
    </w:p>
    <w:sectPr w:rsidR="00EC1A41" w:rsidRPr="004731E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6F8" w:rsidRDefault="001C06F8">
      <w:r>
        <w:separator/>
      </w:r>
    </w:p>
  </w:endnote>
  <w:endnote w:type="continuationSeparator" w:id="0">
    <w:p w:rsidR="001C06F8" w:rsidRDefault="001C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C73D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C73D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1A4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6F8" w:rsidRDefault="001C06F8">
      <w:r>
        <w:separator/>
      </w:r>
    </w:p>
  </w:footnote>
  <w:footnote w:type="continuationSeparator" w:id="0">
    <w:p w:rsidR="001C06F8" w:rsidRDefault="001C0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C73D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06F8"/>
    <w:rsid w:val="0002206C"/>
    <w:rsid w:val="00043701"/>
    <w:rsid w:val="000C657D"/>
    <w:rsid w:val="000C7078"/>
    <w:rsid w:val="000D76E9"/>
    <w:rsid w:val="000E495B"/>
    <w:rsid w:val="001C06F8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C73D8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C1A41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C1A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.V.Sudnikov@inp.nsk.s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ПЕРВЫЕ РЕЗУЛЬТАТЫ ЭКСПЕРИМЕНТАЛЬНОЙ ПРОВЕРКИ КОНЦЕПЦИИ ВИНТОВОГО УДЕРЖАНИЯ</dc:title>
  <dc:creator>sato</dc:creator>
  <cp:lastModifiedBy>Сатунин</cp:lastModifiedBy>
  <cp:revision>1</cp:revision>
  <cp:lastPrinted>1601-01-01T00:00:00Z</cp:lastPrinted>
  <dcterms:created xsi:type="dcterms:W3CDTF">2018-01-22T13:03:00Z</dcterms:created>
  <dcterms:modified xsi:type="dcterms:W3CDTF">2018-01-22T13:05:00Z</dcterms:modified>
</cp:coreProperties>
</file>