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B2" w:rsidRPr="00A63225" w:rsidRDefault="007B67B2" w:rsidP="007B67B2">
      <w:pPr>
        <w:pStyle w:val="Zv-Titlereport"/>
      </w:pPr>
      <w:r w:rsidRPr="004F64D0">
        <w:t>Подпороговый разряд в микроволновом пучке, как плазмохимическ</w:t>
      </w:r>
      <w:r>
        <w:t>ий</w:t>
      </w:r>
      <w:r w:rsidRPr="004F64D0">
        <w:t xml:space="preserve"> </w:t>
      </w:r>
      <w:r>
        <w:t xml:space="preserve">генератор </w:t>
      </w:r>
      <w:r>
        <w:rPr>
          <w:lang w:val="en-US"/>
        </w:rPr>
        <w:t>no</w:t>
      </w:r>
      <w:r w:rsidRPr="001B16E7">
        <w:rPr>
          <w:vertAlign w:val="subscript"/>
          <w:lang w:val="en-US"/>
        </w:rPr>
        <w:t>x</w:t>
      </w:r>
    </w:p>
    <w:p w:rsidR="007B67B2" w:rsidRPr="007B67B2" w:rsidRDefault="007B67B2" w:rsidP="007B67B2">
      <w:pPr>
        <w:pStyle w:val="Zv-Author"/>
      </w:pPr>
      <w:proofErr w:type="spellStart"/>
      <w:r w:rsidRPr="007B67B2">
        <w:rPr>
          <w:u w:val="single"/>
        </w:rPr>
        <w:t>Коссый</w:t>
      </w:r>
      <w:proofErr w:type="spellEnd"/>
      <w:r w:rsidRPr="007B67B2">
        <w:rPr>
          <w:u w:val="single"/>
        </w:rPr>
        <w:t xml:space="preserve"> И.А</w:t>
      </w:r>
      <w:proofErr w:type="gramStart"/>
      <w:r w:rsidR="006929F1" w:rsidRPr="007B67B2">
        <w:rPr>
          <w:vertAlign w:val="superscript"/>
        </w:rPr>
        <w:t>1</w:t>
      </w:r>
      <w:proofErr w:type="gramEnd"/>
      <w:r w:rsidRPr="007B67B2">
        <w:rPr>
          <w:u w:val="single"/>
        </w:rPr>
        <w:t>.</w:t>
      </w:r>
      <w:r w:rsidRPr="007B67B2">
        <w:t xml:space="preserve">, Артемьев </w:t>
      </w:r>
      <w:r w:rsidRPr="002A5665">
        <w:t>К</w:t>
      </w:r>
      <w:r w:rsidRPr="007B67B2">
        <w:t>.</w:t>
      </w:r>
      <w:r w:rsidRPr="002A5665">
        <w:t>В</w:t>
      </w:r>
      <w:r w:rsidR="006929F1" w:rsidRPr="007B67B2">
        <w:rPr>
          <w:vertAlign w:val="superscript"/>
        </w:rPr>
        <w:t>1</w:t>
      </w:r>
      <w:r w:rsidRPr="007B67B2">
        <w:t>., Батанов Г.М.</w:t>
      </w:r>
      <w:r w:rsidR="006929F1" w:rsidRPr="006929F1">
        <w:rPr>
          <w:vertAlign w:val="superscript"/>
        </w:rPr>
        <w:t xml:space="preserve"> </w:t>
      </w:r>
      <w:r w:rsidR="006929F1" w:rsidRPr="007B67B2">
        <w:rPr>
          <w:vertAlign w:val="superscript"/>
        </w:rPr>
        <w:t>1</w:t>
      </w:r>
      <w:r w:rsidRPr="007B67B2">
        <w:t xml:space="preserve">, </w:t>
      </w:r>
      <w:proofErr w:type="spellStart"/>
      <w:r w:rsidRPr="007B67B2">
        <w:t>Бережецкая</w:t>
      </w:r>
      <w:proofErr w:type="spellEnd"/>
      <w:r w:rsidRPr="007B67B2">
        <w:t xml:space="preserve"> Н.К</w:t>
      </w:r>
      <w:r w:rsidR="006929F1" w:rsidRPr="007B67B2">
        <w:rPr>
          <w:vertAlign w:val="superscript"/>
        </w:rPr>
        <w:t>1</w:t>
      </w:r>
      <w:r w:rsidRPr="007B67B2">
        <w:t xml:space="preserve">., </w:t>
      </w:r>
      <w:proofErr w:type="spellStart"/>
      <w:r w:rsidRPr="007B67B2">
        <w:t>Борзосеков</w:t>
      </w:r>
      <w:proofErr w:type="spellEnd"/>
      <w:r w:rsidRPr="007B67B2">
        <w:t xml:space="preserve"> В.Д</w:t>
      </w:r>
      <w:r w:rsidR="006929F1" w:rsidRPr="007B67B2">
        <w:rPr>
          <w:vertAlign w:val="superscript"/>
        </w:rPr>
        <w:t>1</w:t>
      </w:r>
      <w:r w:rsidRPr="007B67B2">
        <w:t>., Давыдов А.М</w:t>
      </w:r>
      <w:r w:rsidR="006929F1" w:rsidRPr="007B67B2">
        <w:rPr>
          <w:vertAlign w:val="superscript"/>
        </w:rPr>
        <w:t>1</w:t>
      </w:r>
      <w:r w:rsidRPr="007B67B2">
        <w:t>., Кожевникова Н.А.</w:t>
      </w:r>
      <w:r w:rsidR="006929F1" w:rsidRPr="006929F1">
        <w:rPr>
          <w:vertAlign w:val="superscript"/>
        </w:rPr>
        <w:t>2</w:t>
      </w:r>
      <w:r w:rsidRPr="007B67B2">
        <w:t xml:space="preserve">, </w:t>
      </w:r>
      <w:proofErr w:type="spellStart"/>
      <w:r w:rsidRPr="007B67B2">
        <w:t>Сарксян</w:t>
      </w:r>
      <w:proofErr w:type="spellEnd"/>
      <w:r w:rsidRPr="007B67B2">
        <w:t xml:space="preserve"> К.А.</w:t>
      </w:r>
      <w:r w:rsidR="006929F1" w:rsidRPr="006929F1">
        <w:rPr>
          <w:vertAlign w:val="superscript"/>
        </w:rPr>
        <w:t xml:space="preserve"> </w:t>
      </w:r>
      <w:r w:rsidR="006929F1" w:rsidRPr="007B67B2">
        <w:rPr>
          <w:vertAlign w:val="superscript"/>
        </w:rPr>
        <w:t>1</w:t>
      </w:r>
      <w:r w:rsidRPr="007B67B2">
        <w:t xml:space="preserve">, </w:t>
      </w:r>
      <w:proofErr w:type="spellStart"/>
      <w:r w:rsidRPr="007B67B2">
        <w:t>Степахин</w:t>
      </w:r>
      <w:proofErr w:type="spellEnd"/>
      <w:r w:rsidRPr="007B67B2">
        <w:t xml:space="preserve"> В.Д.</w:t>
      </w:r>
      <w:r w:rsidR="006929F1" w:rsidRPr="006929F1">
        <w:rPr>
          <w:vertAlign w:val="superscript"/>
        </w:rPr>
        <w:t xml:space="preserve"> </w:t>
      </w:r>
      <w:r w:rsidR="006929F1" w:rsidRPr="007B67B2">
        <w:rPr>
          <w:vertAlign w:val="superscript"/>
        </w:rPr>
        <w:t>1</w:t>
      </w:r>
      <w:r w:rsidRPr="007B67B2">
        <w:t>, Сысоев С.О.</w:t>
      </w:r>
      <w:r w:rsidR="006929F1" w:rsidRPr="006929F1">
        <w:rPr>
          <w:vertAlign w:val="superscript"/>
        </w:rPr>
        <w:t>2</w:t>
      </w:r>
      <w:r w:rsidRPr="007B67B2">
        <w:t xml:space="preserve">, </w:t>
      </w:r>
      <w:proofErr w:type="spellStart"/>
      <w:r w:rsidRPr="007B67B2">
        <w:t>Темчин</w:t>
      </w:r>
      <w:proofErr w:type="spellEnd"/>
      <w:r w:rsidRPr="007B67B2">
        <w:t xml:space="preserve"> С.М.</w:t>
      </w:r>
      <w:r w:rsidR="006929F1" w:rsidRPr="006929F1">
        <w:rPr>
          <w:vertAlign w:val="superscript"/>
        </w:rPr>
        <w:t xml:space="preserve"> </w:t>
      </w:r>
      <w:r w:rsidR="006929F1" w:rsidRPr="007B67B2">
        <w:rPr>
          <w:vertAlign w:val="superscript"/>
        </w:rPr>
        <w:t>1</w:t>
      </w:r>
      <w:r w:rsidRPr="007B67B2">
        <w:t xml:space="preserve">, </w:t>
      </w:r>
      <w:proofErr w:type="spellStart"/>
      <w:r w:rsidRPr="007B67B2">
        <w:t>Харчев</w:t>
      </w:r>
      <w:proofErr w:type="spellEnd"/>
      <w:r w:rsidRPr="007B67B2">
        <w:t xml:space="preserve"> Н.К</w:t>
      </w:r>
      <w:r w:rsidR="006929F1" w:rsidRPr="007B67B2">
        <w:rPr>
          <w:vertAlign w:val="superscript"/>
        </w:rPr>
        <w:t>1</w:t>
      </w:r>
      <w:r w:rsidR="006929F1" w:rsidRPr="006929F1">
        <w:rPr>
          <w:vertAlign w:val="superscript"/>
        </w:rPr>
        <w:t>,3</w:t>
      </w:r>
      <w:r w:rsidRPr="007B67B2">
        <w:t>.</w:t>
      </w:r>
    </w:p>
    <w:p w:rsidR="006929F1" w:rsidRPr="006929F1" w:rsidRDefault="006929F1" w:rsidP="006929F1">
      <w:pPr>
        <w:pStyle w:val="Zv-Organization"/>
        <w:spacing w:after="0"/>
      </w:pPr>
      <w:r w:rsidRPr="007B67B2">
        <w:rPr>
          <w:vertAlign w:val="superscript"/>
        </w:rPr>
        <w:t>1</w:t>
      </w:r>
      <w:r w:rsidR="007B67B2" w:rsidRPr="004F64D0">
        <w:t xml:space="preserve">Институт </w:t>
      </w:r>
      <w:r w:rsidR="007B67B2">
        <w:t>о</w:t>
      </w:r>
      <w:r w:rsidR="007B67B2" w:rsidRPr="004F64D0">
        <w:t xml:space="preserve">бщей </w:t>
      </w:r>
      <w:r w:rsidR="007B67B2">
        <w:t>ф</w:t>
      </w:r>
      <w:r w:rsidR="007B67B2" w:rsidRPr="004F64D0">
        <w:t xml:space="preserve">изики </w:t>
      </w:r>
      <w:r w:rsidR="007B67B2">
        <w:t xml:space="preserve">им. А.М. Прохорова </w:t>
      </w:r>
      <w:r w:rsidR="007B67B2" w:rsidRPr="004F64D0">
        <w:t>РАН, 1199</w:t>
      </w:r>
      <w:r w:rsidR="007B67B2">
        <w:t>91, Вавилова 38, Москва, РФ</w:t>
      </w:r>
      <w:r w:rsidR="007B67B2" w:rsidRPr="007B67B2">
        <w:t>,</w:t>
      </w:r>
      <w:r w:rsidR="007B67B2" w:rsidRPr="007B67B2">
        <w:br/>
        <w:t xml:space="preserve">    </w:t>
      </w:r>
      <w:r w:rsidR="007B67B2">
        <w:t xml:space="preserve"> </w:t>
      </w:r>
      <w:hyperlink r:id="rId7" w:history="1">
        <w:r w:rsidR="007B67B2" w:rsidRPr="0060425C">
          <w:rPr>
            <w:rStyle w:val="a8"/>
            <w:lang w:val="en-US"/>
          </w:rPr>
          <w:t>kossyi</w:t>
        </w:r>
        <w:r w:rsidR="007B67B2" w:rsidRPr="0060425C">
          <w:rPr>
            <w:rStyle w:val="a8"/>
          </w:rPr>
          <w:t>@</w:t>
        </w:r>
        <w:r w:rsidR="007B67B2" w:rsidRPr="0060425C">
          <w:rPr>
            <w:rStyle w:val="a8"/>
            <w:lang w:val="en-US"/>
          </w:rPr>
          <w:t>fpl</w:t>
        </w:r>
        <w:r w:rsidR="007B67B2" w:rsidRPr="0060425C">
          <w:rPr>
            <w:rStyle w:val="a8"/>
          </w:rPr>
          <w:t>.</w:t>
        </w:r>
        <w:r w:rsidR="007B67B2" w:rsidRPr="0060425C">
          <w:rPr>
            <w:rStyle w:val="a8"/>
            <w:lang w:val="en-US"/>
          </w:rPr>
          <w:t>gpi</w:t>
        </w:r>
        <w:r w:rsidR="007B67B2" w:rsidRPr="0060425C">
          <w:rPr>
            <w:rStyle w:val="a8"/>
          </w:rPr>
          <w:t>.</w:t>
        </w:r>
        <w:r w:rsidR="007B67B2" w:rsidRPr="0060425C">
          <w:rPr>
            <w:rStyle w:val="a8"/>
            <w:lang w:val="en-US"/>
          </w:rPr>
          <w:t>ru</w:t>
        </w:r>
      </w:hyperlink>
      <w:r w:rsidR="007B67B2" w:rsidRPr="005734A2">
        <w:br/>
      </w:r>
      <w:r w:rsidRPr="006929F1">
        <w:rPr>
          <w:vertAlign w:val="superscript"/>
        </w:rPr>
        <w:t>2</w:t>
      </w:r>
      <w:r w:rsidR="007B67B2" w:rsidRPr="004F64D0">
        <w:t>Ecostandar</w:t>
      </w:r>
      <w:r w:rsidR="007B67B2">
        <w:rPr>
          <w:lang w:val="en-US"/>
        </w:rPr>
        <w:t>d</w:t>
      </w:r>
      <w:r w:rsidR="007B67B2" w:rsidRPr="004F64D0">
        <w:t xml:space="preserve"> </w:t>
      </w:r>
      <w:proofErr w:type="spellStart"/>
      <w:r w:rsidR="007B67B2" w:rsidRPr="004F64D0">
        <w:t>group</w:t>
      </w:r>
      <w:proofErr w:type="spellEnd"/>
      <w:r w:rsidR="007B67B2" w:rsidRPr="004F64D0">
        <w:t xml:space="preserve">, 105082, </w:t>
      </w:r>
      <w:proofErr w:type="spellStart"/>
      <w:r w:rsidR="007B67B2" w:rsidRPr="004F64D0">
        <w:t>Переведеновский</w:t>
      </w:r>
      <w:proofErr w:type="spellEnd"/>
      <w:r w:rsidR="007B67B2" w:rsidRPr="004F64D0">
        <w:t xml:space="preserve"> пер.</w:t>
      </w:r>
      <w:r w:rsidR="007B67B2">
        <w:t>, д.</w:t>
      </w:r>
      <w:r w:rsidR="007B67B2" w:rsidRPr="004F64D0">
        <w:t xml:space="preserve"> 13</w:t>
      </w:r>
      <w:r w:rsidR="007B67B2">
        <w:t>, стр. 16</w:t>
      </w:r>
      <w:r w:rsidR="007B67B2" w:rsidRPr="004F64D0">
        <w:t>, Москва, РФ</w:t>
      </w:r>
    </w:p>
    <w:p w:rsidR="007B67B2" w:rsidRPr="00FB580B" w:rsidRDefault="006929F1" w:rsidP="006929F1">
      <w:pPr>
        <w:pStyle w:val="Zv-Organization"/>
        <w:spacing w:before="0"/>
      </w:pPr>
      <w:r w:rsidRPr="006929F1">
        <w:rPr>
          <w:vertAlign w:val="superscript"/>
        </w:rPr>
        <w:t>3</w:t>
      </w:r>
      <w:r>
        <w:t>НИЦ «Курчатовский институт»</w:t>
      </w:r>
      <w:r w:rsidRPr="00EA4FFC">
        <w:t xml:space="preserve">, </w:t>
      </w:r>
      <w:proofErr w:type="gramStart"/>
      <w:r>
        <w:t>г</w:t>
      </w:r>
      <w:proofErr w:type="gramEnd"/>
      <w:r>
        <w:t xml:space="preserve">. Москва, Россия, </w:t>
      </w:r>
      <w:hyperlink r:id="rId8" w:history="1">
        <w:r w:rsidRPr="00716672">
          <w:rPr>
            <w:rStyle w:val="a8"/>
          </w:rPr>
          <w:t>nrcki@nrcki.ru</w:t>
        </w:r>
      </w:hyperlink>
    </w:p>
    <w:p w:rsidR="007846D7" w:rsidRPr="00C7697A" w:rsidRDefault="007846D7" w:rsidP="007846D7">
      <w:pPr>
        <w:pStyle w:val="Zv-bodyreport"/>
      </w:pPr>
      <w:r w:rsidRPr="00C7697A">
        <w:t xml:space="preserve">На установке «ФАКЕЛ» исследуется СНС (самоподдерживающийся несамостоятельный) разряд в воздухе при атмосферном давлении, как генератор окислов азота </w:t>
      </w:r>
      <w:proofErr w:type="spellStart"/>
      <w:r w:rsidRPr="00C7697A">
        <w:t>NO</w:t>
      </w:r>
      <w:r w:rsidRPr="00C7697A">
        <w:rPr>
          <w:vertAlign w:val="subscript"/>
        </w:rPr>
        <w:t>x</w:t>
      </w:r>
      <w:proofErr w:type="spellEnd"/>
      <w:r w:rsidRPr="00C7697A">
        <w:t xml:space="preserve">. </w:t>
      </w:r>
      <w:proofErr w:type="gramStart"/>
      <w:r w:rsidRPr="00C7697A">
        <w:t xml:space="preserve">Импульсное микроволновое излучение, генерируемое </w:t>
      </w:r>
      <w:proofErr w:type="spellStart"/>
      <w:r w:rsidRPr="00C7697A">
        <w:t>гиротроном</w:t>
      </w:r>
      <w:proofErr w:type="spellEnd"/>
      <w:r w:rsidRPr="00C7697A">
        <w:t xml:space="preserve"> Борец-75/08 характеризуется</w:t>
      </w:r>
      <w:proofErr w:type="gramEnd"/>
      <w:r w:rsidRPr="00C7697A">
        <w:t xml:space="preserve"> следующими параметрами: импульсная мощность </w:t>
      </w:r>
      <w:proofErr w:type="spellStart"/>
      <w:r w:rsidRPr="00C7697A">
        <w:t>P</w:t>
      </w:r>
      <w:r w:rsidRPr="00C7697A">
        <w:rPr>
          <w:vertAlign w:val="subscript"/>
        </w:rPr>
        <w:t>i</w:t>
      </w:r>
      <w:proofErr w:type="spellEnd"/>
      <w:r w:rsidRPr="00C7697A">
        <w:t xml:space="preserve"> ≤ 600 кВт, длительность импульса τ</w:t>
      </w:r>
      <w:r w:rsidRPr="00C7697A">
        <w:rPr>
          <w:vertAlign w:val="subscript"/>
        </w:rPr>
        <w:t>mw</w:t>
      </w:r>
      <w:r w:rsidRPr="00C7697A">
        <w:t xml:space="preserve"> ≤ 20 мс, длина волны λ = </w:t>
      </w:r>
      <w:smartTag w:uri="urn:schemas-microsoft-com:office:smarttags" w:element="metricconverter">
        <w:smartTagPr>
          <w:attr w:name="ProductID" w:val="4 мм"/>
        </w:smartTagPr>
        <w:r w:rsidRPr="00C7697A">
          <w:t>4 мм</w:t>
        </w:r>
      </w:smartTag>
      <w:r w:rsidRPr="00C7697A">
        <w:t>.</w:t>
      </w:r>
    </w:p>
    <w:p w:rsidR="007846D7" w:rsidRPr="00C7697A" w:rsidRDefault="007846D7" w:rsidP="007846D7">
      <w:pPr>
        <w:pStyle w:val="Zv-bodyreport"/>
        <w:spacing w:before="60"/>
      </w:pPr>
      <w:r w:rsidRPr="00C7697A">
        <w:t>Две проблемы стимулируют постановку эксперимента:</w:t>
      </w:r>
    </w:p>
    <w:p w:rsidR="007846D7" w:rsidRPr="00C7697A" w:rsidRDefault="007846D7" w:rsidP="007846D7">
      <w:pPr>
        <w:pStyle w:val="Zv-bodyreport"/>
        <w:numPr>
          <w:ilvl w:val="0"/>
          <w:numId w:val="8"/>
        </w:numPr>
        <w:ind w:left="284" w:hanging="283"/>
      </w:pPr>
      <w:r w:rsidRPr="00C7697A">
        <w:t xml:space="preserve">При использовании </w:t>
      </w:r>
      <w:proofErr w:type="spellStart"/>
      <w:r w:rsidRPr="00C7697A">
        <w:t>СНС-разряда</w:t>
      </w:r>
      <w:proofErr w:type="spellEnd"/>
      <w:r w:rsidRPr="00C7697A">
        <w:t xml:space="preserve">, как способа очистки городской атмосферы от экологически опасных примесей поиски режимов с минимальной наработкой </w:t>
      </w:r>
      <w:proofErr w:type="spellStart"/>
      <w:r w:rsidRPr="00C7697A">
        <w:t>NO</w:t>
      </w:r>
      <w:r w:rsidRPr="00C7697A">
        <w:rPr>
          <w:vertAlign w:val="subscript"/>
        </w:rPr>
        <w:t>x</w:t>
      </w:r>
      <w:proofErr w:type="spellEnd"/>
      <w:r w:rsidRPr="00C7697A">
        <w:t>, также представляющих опасность для городского населения.</w:t>
      </w:r>
    </w:p>
    <w:p w:rsidR="007846D7" w:rsidRPr="00C7697A" w:rsidRDefault="007846D7" w:rsidP="007846D7">
      <w:pPr>
        <w:pStyle w:val="Zv-bodyreport"/>
        <w:numPr>
          <w:ilvl w:val="0"/>
          <w:numId w:val="8"/>
        </w:numPr>
        <w:spacing w:after="60"/>
        <w:ind w:left="284" w:hanging="284"/>
      </w:pPr>
      <w:r w:rsidRPr="00C7697A">
        <w:t xml:space="preserve">При использовании </w:t>
      </w:r>
      <w:proofErr w:type="spellStart"/>
      <w:r w:rsidRPr="00C7697A">
        <w:t>СНС-разряда</w:t>
      </w:r>
      <w:proofErr w:type="spellEnd"/>
      <w:r w:rsidRPr="00C7697A">
        <w:t>, как способа наработки окислов азота, необходимых, в частности, современному производству сельскохозяйственных удобрений, поиск режимов с наибольшей интенсивностью протекания процессов окисления азота.</w:t>
      </w:r>
    </w:p>
    <w:p w:rsidR="007846D7" w:rsidRPr="00C7697A" w:rsidRDefault="007846D7" w:rsidP="007846D7">
      <w:pPr>
        <w:pStyle w:val="Zv-bodyreport"/>
      </w:pPr>
      <w:r w:rsidRPr="00C7697A">
        <w:t xml:space="preserve">Получены первые результаты, обсуждаемые в представленном докладе. </w:t>
      </w:r>
      <w:proofErr w:type="gramStart"/>
      <w:r w:rsidRPr="00C7697A">
        <w:t>Результаты эксперимента сравниваются с результатами расчётов, выполненных в рамках компьютерной программы “</w:t>
      </w:r>
      <w:r w:rsidRPr="00C7697A">
        <w:rPr>
          <w:lang w:val="en-US"/>
        </w:rPr>
        <w:t>CHEMICAL</w:t>
      </w:r>
      <w:r w:rsidRPr="00C7697A">
        <w:t xml:space="preserve"> </w:t>
      </w:r>
      <w:r w:rsidRPr="00C7697A">
        <w:rPr>
          <w:lang w:val="en-US"/>
        </w:rPr>
        <w:t>BENCH</w:t>
      </w:r>
      <w:r w:rsidRPr="00C7697A">
        <w:t xml:space="preserve">” с моделирование </w:t>
      </w:r>
      <w:proofErr w:type="spellStart"/>
      <w:r w:rsidRPr="00C7697A">
        <w:t>СНС-разряда</w:t>
      </w:r>
      <w:proofErr w:type="spellEnd"/>
      <w:r w:rsidRPr="00C7697A">
        <w:t>, как последовательности двух плазмохимических реакторов: с быстрым нагревом воздушной среды (</w:t>
      </w:r>
      <w:proofErr w:type="spellStart"/>
      <w:r w:rsidRPr="00C7697A">
        <w:rPr>
          <w:lang w:val="en-US"/>
        </w:rPr>
        <w:t>dT</w:t>
      </w:r>
      <w:r w:rsidRPr="00C7697A">
        <w:rPr>
          <w:vertAlign w:val="subscript"/>
          <w:lang w:val="en-US"/>
        </w:rPr>
        <w:t>g</w:t>
      </w:r>
      <w:proofErr w:type="spellEnd"/>
      <w:r w:rsidRPr="00C7697A">
        <w:t>/</w:t>
      </w:r>
      <w:proofErr w:type="spellStart"/>
      <w:r w:rsidRPr="00C7697A">
        <w:rPr>
          <w:lang w:val="en-US"/>
        </w:rPr>
        <w:t>dt</w:t>
      </w:r>
      <w:proofErr w:type="spellEnd"/>
      <w:r w:rsidRPr="00C7697A">
        <w:t xml:space="preserve"> ≈ 10</w:t>
      </w:r>
      <w:r w:rsidRPr="00C7697A">
        <w:rPr>
          <w:vertAlign w:val="superscript"/>
        </w:rPr>
        <w:t>8</w:t>
      </w:r>
      <w:r w:rsidRPr="00C7697A">
        <w:t xml:space="preserve"> – 10</w:t>
      </w:r>
      <w:r w:rsidRPr="00C7697A">
        <w:rPr>
          <w:vertAlign w:val="superscript"/>
        </w:rPr>
        <w:t>9</w:t>
      </w:r>
      <w:r w:rsidRPr="00C7697A">
        <w:t xml:space="preserve"> </w:t>
      </w:r>
      <w:r w:rsidRPr="00C7697A">
        <w:rPr>
          <w:lang w:val="en-US"/>
        </w:rPr>
        <w:t>K</w:t>
      </w:r>
      <w:r w:rsidRPr="00C7697A">
        <w:t>/</w:t>
      </w:r>
      <w:r w:rsidRPr="00C7697A">
        <w:rPr>
          <w:lang w:val="en-US"/>
        </w:rPr>
        <w:t>c</w:t>
      </w:r>
      <w:r w:rsidRPr="00C7697A">
        <w:t xml:space="preserve">) в первом и с её охлаждением (- </w:t>
      </w:r>
      <w:proofErr w:type="spellStart"/>
      <w:r w:rsidRPr="00C7697A">
        <w:rPr>
          <w:lang w:val="en-US"/>
        </w:rPr>
        <w:t>dT</w:t>
      </w:r>
      <w:r w:rsidRPr="00C7697A">
        <w:rPr>
          <w:vertAlign w:val="subscript"/>
          <w:lang w:val="en-US"/>
        </w:rPr>
        <w:t>g</w:t>
      </w:r>
      <w:proofErr w:type="spellEnd"/>
      <w:r w:rsidRPr="00C7697A">
        <w:t>/</w:t>
      </w:r>
      <w:proofErr w:type="spellStart"/>
      <w:r w:rsidRPr="00C7697A">
        <w:rPr>
          <w:lang w:val="en-US"/>
        </w:rPr>
        <w:t>dt</w:t>
      </w:r>
      <w:proofErr w:type="spellEnd"/>
      <w:r w:rsidRPr="00C7697A">
        <w:t xml:space="preserve"> ≈ 10</w:t>
      </w:r>
      <w:r w:rsidRPr="00C7697A">
        <w:rPr>
          <w:vertAlign w:val="superscript"/>
        </w:rPr>
        <w:t>5</w:t>
      </w:r>
      <w:r w:rsidRPr="00C7697A">
        <w:t xml:space="preserve"> – 10</w:t>
      </w:r>
      <w:r w:rsidRPr="00C7697A">
        <w:rPr>
          <w:vertAlign w:val="superscript"/>
        </w:rPr>
        <w:t>6</w:t>
      </w:r>
      <w:r w:rsidRPr="00C7697A">
        <w:t xml:space="preserve"> </w:t>
      </w:r>
      <w:r w:rsidRPr="00C7697A">
        <w:rPr>
          <w:lang w:val="en-US"/>
        </w:rPr>
        <w:t>K</w:t>
      </w:r>
      <w:r w:rsidRPr="00C7697A">
        <w:t>/</w:t>
      </w:r>
      <w:r w:rsidRPr="00C7697A">
        <w:rPr>
          <w:lang w:val="en-US"/>
        </w:rPr>
        <w:t>c</w:t>
      </w:r>
      <w:r w:rsidRPr="00C7697A">
        <w:t xml:space="preserve">), обеспечивающим эффективную «закалку» продуктов </w:t>
      </w:r>
      <w:proofErr w:type="spellStart"/>
      <w:r w:rsidRPr="00C7697A">
        <w:t>терморазложения</w:t>
      </w:r>
      <w:proofErr w:type="spellEnd"/>
      <w:r w:rsidRPr="00C7697A">
        <w:t xml:space="preserve"> во втором.</w:t>
      </w:r>
      <w:proofErr w:type="gramEnd"/>
      <w:r w:rsidRPr="00C7697A">
        <w:t xml:space="preserve"> Результаты расчётов находятся в хорошем соответствии с результатами эксперимента, представленными на рисунке 1.</w:t>
      </w:r>
    </w:p>
    <w:p w:rsidR="007846D7" w:rsidRPr="00C7697A" w:rsidRDefault="007846D7" w:rsidP="007846D7">
      <w:pPr>
        <w:pStyle w:val="Zv-bodyreport"/>
      </w:pPr>
    </w:p>
    <w:p w:rsidR="007846D7" w:rsidRPr="00C7697A" w:rsidRDefault="007846D7" w:rsidP="007846D7">
      <w:pPr>
        <w:pStyle w:val="Zv-bodyrepor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14825" cy="2819400"/>
            <wp:effectExtent l="0" t="0" r="0" b="0"/>
            <wp:docPr id="1" name="Рисунок 1" descr="N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29" t="4219" r="33757" b="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6D7" w:rsidRPr="00C7697A" w:rsidRDefault="007846D7" w:rsidP="007846D7">
      <w:pPr>
        <w:pStyle w:val="Zv-bodyreport"/>
        <w:ind w:left="2835" w:right="1416" w:hanging="1134"/>
        <w:jc w:val="left"/>
      </w:pPr>
      <w:r w:rsidRPr="00C7697A">
        <w:t xml:space="preserve">Рисунок 1. Степень наработки частиц </w:t>
      </w:r>
      <w:proofErr w:type="spellStart"/>
      <w:r w:rsidRPr="00C7697A">
        <w:rPr>
          <w:lang w:val="en-US"/>
        </w:rPr>
        <w:t>NO</w:t>
      </w:r>
      <w:r w:rsidRPr="00C7697A">
        <w:rPr>
          <w:vertAlign w:val="subscript"/>
          <w:lang w:val="en-US"/>
        </w:rPr>
        <w:t>x</w:t>
      </w:r>
      <w:proofErr w:type="spellEnd"/>
      <w:r w:rsidRPr="00C7697A">
        <w:t xml:space="preserve"> в зависимости от </w:t>
      </w:r>
      <w:proofErr w:type="gramStart"/>
      <w:r w:rsidRPr="00C7697A">
        <w:t>удельного</w:t>
      </w:r>
      <w:proofErr w:type="gramEnd"/>
      <w:r w:rsidRPr="00C7697A">
        <w:t xml:space="preserve"> </w:t>
      </w:r>
      <w:proofErr w:type="spellStart"/>
      <w:r w:rsidRPr="00C7697A">
        <w:t>энерговклада</w:t>
      </w:r>
      <w:proofErr w:type="spellEnd"/>
      <w:r w:rsidRPr="00C7697A">
        <w:t>.</w:t>
      </w:r>
    </w:p>
    <w:p w:rsidR="007846D7" w:rsidRPr="00C7697A" w:rsidRDefault="007846D7" w:rsidP="007846D7">
      <w:pPr>
        <w:pStyle w:val="Zv-bodyreport"/>
        <w:spacing w:before="240"/>
      </w:pPr>
      <w:r w:rsidRPr="00C7697A">
        <w:lastRenderedPageBreak/>
        <w:t>Работа выполнена при поддержке РНФ (Проект № 17-12-01352).</w:t>
      </w:r>
    </w:p>
    <w:sectPr w:rsidR="007846D7" w:rsidRPr="00C7697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D5" w:rsidRDefault="00A903D5">
      <w:r>
        <w:separator/>
      </w:r>
    </w:p>
  </w:endnote>
  <w:endnote w:type="continuationSeparator" w:id="0">
    <w:p w:rsidR="00A903D5" w:rsidRDefault="00A9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3C6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3C6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29F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D5" w:rsidRDefault="00A903D5">
      <w:r>
        <w:separator/>
      </w:r>
    </w:p>
  </w:footnote>
  <w:footnote w:type="continuationSeparator" w:id="0">
    <w:p w:rsidR="00A903D5" w:rsidRDefault="00A90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B67B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140645">
      <w:rPr>
        <w:sz w:val="20"/>
      </w:rPr>
      <w:t>2</w:t>
    </w:r>
    <w:proofErr w:type="gramEnd"/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53C6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D45F8"/>
    <w:multiLevelType w:val="hybridMultilevel"/>
    <w:tmpl w:val="55CA97E6"/>
    <w:lvl w:ilvl="0" w:tplc="142C5D94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D44822"/>
    <w:multiLevelType w:val="hybridMultilevel"/>
    <w:tmpl w:val="09CC42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373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2A80"/>
    <w:rsid w:val="00654A7B"/>
    <w:rsid w:val="006775A4"/>
    <w:rsid w:val="006929F1"/>
    <w:rsid w:val="006A4E54"/>
    <w:rsid w:val="00732A2E"/>
    <w:rsid w:val="00753C6C"/>
    <w:rsid w:val="007846D7"/>
    <w:rsid w:val="007B6378"/>
    <w:rsid w:val="007B67B2"/>
    <w:rsid w:val="007E06CE"/>
    <w:rsid w:val="008022B0"/>
    <w:rsid w:val="00802D35"/>
    <w:rsid w:val="00930480"/>
    <w:rsid w:val="0094051A"/>
    <w:rsid w:val="00953341"/>
    <w:rsid w:val="009D46CB"/>
    <w:rsid w:val="00A903D5"/>
    <w:rsid w:val="00AA2CE7"/>
    <w:rsid w:val="00AB58B3"/>
    <w:rsid w:val="00B622ED"/>
    <w:rsid w:val="00B9584E"/>
    <w:rsid w:val="00BC1716"/>
    <w:rsid w:val="00C103CD"/>
    <w:rsid w:val="00C232A0"/>
    <w:rsid w:val="00C83FDE"/>
    <w:rsid w:val="00D47F19"/>
    <w:rsid w:val="00D900FB"/>
    <w:rsid w:val="00DA1D0D"/>
    <w:rsid w:val="00E7021A"/>
    <w:rsid w:val="00E87733"/>
    <w:rsid w:val="00EC3730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B67B2"/>
    <w:rPr>
      <w:color w:val="0000FF"/>
      <w:u w:val="single"/>
    </w:rPr>
  </w:style>
  <w:style w:type="paragraph" w:styleId="a9">
    <w:name w:val="Balloon Text"/>
    <w:basedOn w:val="a"/>
    <w:link w:val="aa"/>
    <w:rsid w:val="007846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84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ssyi@fpl.gp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ПОДПОРОГОВЫЙ РАЗРЯД В МИКРОВОЛНОВОМ ПУЧКЕ, КАК ПЛАЗМОХИМИЧЕСКИЙ ГЕНЕРАТОР NOX</dc:title>
  <dc:creator>sato</dc:creator>
  <cp:lastModifiedBy>Toshiba</cp:lastModifiedBy>
  <cp:revision>3</cp:revision>
  <cp:lastPrinted>1601-01-01T00:00:00Z</cp:lastPrinted>
  <dcterms:created xsi:type="dcterms:W3CDTF">2018-02-13T11:04:00Z</dcterms:created>
  <dcterms:modified xsi:type="dcterms:W3CDTF">2018-03-15T12:07:00Z</dcterms:modified>
</cp:coreProperties>
</file>