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C3" w:rsidRPr="00A7044A" w:rsidRDefault="00EC0DC3" w:rsidP="00EC0DC3">
      <w:pPr>
        <w:pStyle w:val="Zv-Titlereport"/>
      </w:pPr>
      <w:r w:rsidRPr="00A7044A">
        <w:t>Влияние примеси азота на величину и радиальное распределение концентрации метастабильных атомов в разряде постоянного тока в аргоне</w:t>
      </w:r>
    </w:p>
    <w:p w:rsidR="00EC0DC3" w:rsidRPr="00DD6AC0" w:rsidRDefault="00EC0DC3" w:rsidP="00EC0DC3">
      <w:pPr>
        <w:pStyle w:val="Zv-Author"/>
        <w:rPr>
          <w:vertAlign w:val="superscript"/>
        </w:rPr>
      </w:pPr>
      <w:r>
        <w:t>Григорьян</w:t>
      </w:r>
      <w:r w:rsidRPr="00DD6AC0">
        <w:t xml:space="preserve"> </w:t>
      </w:r>
      <w:r>
        <w:t xml:space="preserve">Г.М., </w:t>
      </w:r>
      <w:r w:rsidRPr="00823E5E">
        <w:rPr>
          <w:u w:val="single"/>
        </w:rPr>
        <w:t>Дятко</w:t>
      </w:r>
      <w:r w:rsidRPr="00DD6AC0">
        <w:rPr>
          <w:u w:val="single"/>
        </w:rPr>
        <w:t xml:space="preserve"> </w:t>
      </w:r>
      <w:r w:rsidRPr="00823E5E">
        <w:rPr>
          <w:u w:val="single"/>
        </w:rPr>
        <w:t>Н.А</w:t>
      </w:r>
      <w:r w:rsidRPr="00930015">
        <w:rPr>
          <w:u w:val="single"/>
        </w:rPr>
        <w:t>.</w:t>
      </w:r>
      <w:r w:rsidRPr="00DD6AC0">
        <w:rPr>
          <w:vertAlign w:val="superscript"/>
        </w:rPr>
        <w:t>1</w:t>
      </w:r>
      <w:r>
        <w:t>, Кочетов</w:t>
      </w:r>
      <w:r w:rsidRPr="00DD6AC0">
        <w:t xml:space="preserve"> </w:t>
      </w:r>
      <w:r>
        <w:t>И.В.</w:t>
      </w:r>
      <w:r w:rsidRPr="00DD6AC0">
        <w:rPr>
          <w:vertAlign w:val="superscript"/>
        </w:rPr>
        <w:t>1</w:t>
      </w:r>
    </w:p>
    <w:p w:rsidR="00EC0DC3" w:rsidRDefault="00EC0DC3" w:rsidP="00EC0DC3">
      <w:pPr>
        <w:pStyle w:val="Zv-Organization"/>
        <w:rPr>
          <w:rStyle w:val="a8"/>
        </w:rPr>
      </w:pPr>
      <w:r w:rsidRPr="003A6BF4">
        <w:t xml:space="preserve">СПбГУ, С.-Петербург, Россия, </w:t>
      </w:r>
      <w:hyperlink r:id="rId7" w:history="1">
        <w:r w:rsidRPr="00BE192D">
          <w:rPr>
            <w:rStyle w:val="a8"/>
            <w:szCs w:val="24"/>
          </w:rPr>
          <w:t>galgr2@rambler.ru</w:t>
        </w:r>
      </w:hyperlink>
      <w:r w:rsidRPr="00EC0DC3">
        <w:br/>
      </w:r>
      <w:r w:rsidRPr="00DD6AC0">
        <w:rPr>
          <w:vertAlign w:val="superscript"/>
        </w:rPr>
        <w:t>1</w:t>
      </w:r>
      <w:r w:rsidRPr="003A6BF4">
        <w:t xml:space="preserve">ГНЦ РФ ТРИНИТИ, Троицк, Москва, Россия, </w:t>
      </w:r>
      <w:hyperlink r:id="rId8" w:history="1">
        <w:r w:rsidRPr="006618AA">
          <w:rPr>
            <w:rStyle w:val="a8"/>
            <w:lang w:val="en-US"/>
          </w:rPr>
          <w:t>dyatko</w:t>
        </w:r>
        <w:r w:rsidRPr="006618AA">
          <w:rPr>
            <w:rStyle w:val="a8"/>
          </w:rPr>
          <w:t>@</w:t>
        </w:r>
        <w:r w:rsidRPr="006618AA">
          <w:rPr>
            <w:rStyle w:val="a8"/>
            <w:lang w:val="en-US"/>
          </w:rPr>
          <w:t>triniti</w:t>
        </w:r>
        <w:r w:rsidRPr="006618AA">
          <w:rPr>
            <w:rStyle w:val="a8"/>
          </w:rPr>
          <w:t>.</w:t>
        </w:r>
        <w:r w:rsidRPr="006618AA">
          <w:rPr>
            <w:rStyle w:val="a8"/>
            <w:lang w:val="en-US"/>
          </w:rPr>
          <w:t>ru</w:t>
        </w:r>
      </w:hyperlink>
    </w:p>
    <w:p w:rsidR="00EC0DC3" w:rsidRPr="00DD6AC0" w:rsidRDefault="00EC0DC3" w:rsidP="00EC0DC3">
      <w:pPr>
        <w:pStyle w:val="Zv-bodyreport"/>
        <w:tabs>
          <w:tab w:val="left" w:pos="567"/>
          <w:tab w:val="left" w:pos="709"/>
        </w:tabs>
      </w:pPr>
      <w:r>
        <w:t>В настоящей работе</w:t>
      </w:r>
      <w:r w:rsidRPr="004213B9">
        <w:t xml:space="preserve"> </w:t>
      </w:r>
      <w:r>
        <w:t xml:space="preserve">измерены абсолютные значения и радиальные </w:t>
      </w:r>
      <w:r w:rsidRPr="00D15301">
        <w:t xml:space="preserve">распределения </w:t>
      </w:r>
      <w:r>
        <w:t xml:space="preserve">концентрации </w:t>
      </w:r>
      <w:r w:rsidRPr="00D15301">
        <w:t>ме</w:t>
      </w:r>
      <w:r>
        <w:t xml:space="preserve">тастабильных атомов </w:t>
      </w:r>
      <w:r>
        <w:rPr>
          <w:lang w:val="en-US"/>
        </w:rPr>
        <w:t>Ar</w:t>
      </w:r>
      <w:r w:rsidRPr="00F21F27">
        <w:t>(1</w:t>
      </w:r>
      <w:r>
        <w:rPr>
          <w:lang w:val="en-US"/>
        </w:rPr>
        <w:t>s</w:t>
      </w:r>
      <w:r w:rsidRPr="00F21F27">
        <w:rPr>
          <w:vertAlign w:val="subscript"/>
        </w:rPr>
        <w:t>5</w:t>
      </w:r>
      <w:r>
        <w:t xml:space="preserve">) </w:t>
      </w:r>
      <w:r w:rsidRPr="00D15301">
        <w:t>в р</w:t>
      </w:r>
      <w:r>
        <w:t xml:space="preserve">азряде постоянного тока в </w:t>
      </w:r>
      <w:r>
        <w:rPr>
          <w:lang w:val="en-US"/>
        </w:rPr>
        <w:t>Ar</w:t>
      </w:r>
      <w:r w:rsidRPr="004213B9">
        <w:t xml:space="preserve"> </w:t>
      </w:r>
      <w:r>
        <w:t xml:space="preserve">и смеси </w:t>
      </w:r>
      <w:r>
        <w:rPr>
          <w:lang w:val="en-US"/>
        </w:rPr>
        <w:t>Ar</w:t>
      </w:r>
      <w:r w:rsidRPr="004213B9">
        <w:t>+0.1%</w:t>
      </w:r>
      <w:r>
        <w:rPr>
          <w:lang w:val="en-US"/>
        </w:rPr>
        <w:t>N</w:t>
      </w:r>
      <w:r w:rsidRPr="004213B9">
        <w:rPr>
          <w:vertAlign w:val="subscript"/>
        </w:rPr>
        <w:t>2</w:t>
      </w:r>
      <w:r>
        <w:t xml:space="preserve"> (давление газа </w:t>
      </w:r>
      <w:r w:rsidRPr="00073EC8">
        <w:rPr>
          <w:i/>
          <w:lang w:val="en-US"/>
        </w:rPr>
        <w:t>P</w:t>
      </w:r>
      <w:r w:rsidRPr="00073EC8">
        <w:t xml:space="preserve"> =</w:t>
      </w:r>
      <w:r>
        <w:t xml:space="preserve"> 1–</w:t>
      </w:r>
      <w:r w:rsidRPr="004213B9">
        <w:t>6</w:t>
      </w:r>
      <w:r>
        <w:t xml:space="preserve">0 Торр, ток разряда </w:t>
      </w:r>
      <w:r w:rsidRPr="00073EC8">
        <w:rPr>
          <w:i/>
          <w:lang w:val="en-US"/>
        </w:rPr>
        <w:t>I</w:t>
      </w:r>
      <w:r w:rsidRPr="00073EC8">
        <w:t xml:space="preserve"> =</w:t>
      </w:r>
      <w:r>
        <w:t xml:space="preserve"> 10–</w:t>
      </w:r>
      <w:r w:rsidRPr="004213B9">
        <w:t>6</w:t>
      </w:r>
      <w:r>
        <w:t>0 мА).</w:t>
      </w:r>
      <w:r w:rsidRPr="00D15301">
        <w:t xml:space="preserve"> Измерения проводились в трубке радиус</w:t>
      </w:r>
      <w:r>
        <w:t>ом</w:t>
      </w:r>
      <w:r w:rsidRPr="00D15301">
        <w:t xml:space="preserve"> </w:t>
      </w:r>
      <w:r w:rsidRPr="00617DE7">
        <w:rPr>
          <w:i/>
        </w:rPr>
        <w:t>R</w:t>
      </w:r>
      <w:r>
        <w:t>=2 см, в которой цилиндрические электроды вынесены</w:t>
      </w:r>
      <w:r w:rsidRPr="00D15301">
        <w:t xml:space="preserve"> в вертикальные отростки</w:t>
      </w:r>
      <w:r>
        <w:t xml:space="preserve">. Длина зоны разряда </w:t>
      </w:r>
      <w:r>
        <w:sym w:font="Symbol" w:char="F0BB"/>
      </w:r>
      <w:r>
        <w:t xml:space="preserve"> 40 см</w:t>
      </w:r>
      <w:r w:rsidRPr="00D15301">
        <w:t xml:space="preserve">. Имелась система охлаждения трубки </w:t>
      </w:r>
      <w:r>
        <w:t>смесью воздуха с парами жидкого азота. Концентрация</w:t>
      </w:r>
      <w:r w:rsidRPr="00D15301">
        <w:t xml:space="preserve"> метастабильных атомов </w:t>
      </w:r>
      <w:r>
        <w:t>рассчитывалась</w:t>
      </w:r>
      <w:r w:rsidRPr="00D15301">
        <w:t xml:space="preserve"> </w:t>
      </w:r>
      <w:r>
        <w:t xml:space="preserve">по измеренному коэффициенту поглощения излучения на переходах 696.5 нм </w:t>
      </w:r>
      <w:r w:rsidRPr="00FB2DC2">
        <w:t>(1s</w:t>
      </w:r>
      <w:r w:rsidRPr="00FB2DC2">
        <w:rPr>
          <w:vertAlign w:val="subscript"/>
        </w:rPr>
        <w:t>5</w:t>
      </w:r>
      <w:r>
        <w:t>-</w:t>
      </w:r>
      <w:r w:rsidRPr="00FB2DC2">
        <w:t>2p</w:t>
      </w:r>
      <w:r w:rsidRPr="00FB2DC2">
        <w:rPr>
          <w:vertAlign w:val="subscript"/>
        </w:rPr>
        <w:t>2</w:t>
      </w:r>
      <w:r w:rsidRPr="00FB2DC2">
        <w:t xml:space="preserve">) </w:t>
      </w:r>
      <w:r>
        <w:t>и 706.7</w:t>
      </w:r>
      <w:r>
        <w:rPr>
          <w:lang w:val="en-US"/>
        </w:rPr>
        <w:t> </w:t>
      </w:r>
      <w:r>
        <w:t>нм (1s</w:t>
      </w:r>
      <w:r w:rsidRPr="00FB2DC2">
        <w:rPr>
          <w:vertAlign w:val="subscript"/>
        </w:rPr>
        <w:t>5</w:t>
      </w:r>
      <w:r>
        <w:t>-</w:t>
      </w:r>
      <w:r w:rsidRPr="00FB2DC2">
        <w:t>2p</w:t>
      </w:r>
      <w:r w:rsidRPr="00FB2DC2">
        <w:rPr>
          <w:vertAlign w:val="subscript"/>
        </w:rPr>
        <w:t>3</w:t>
      </w:r>
      <w:r w:rsidRPr="00FB2DC2">
        <w:t>)</w:t>
      </w:r>
      <w:r>
        <w:t>. В</w:t>
      </w:r>
      <w:r w:rsidRPr="00C72072">
        <w:t xml:space="preserve"> </w:t>
      </w:r>
      <w:r>
        <w:t>качестве</w:t>
      </w:r>
      <w:r w:rsidRPr="00C72072">
        <w:t xml:space="preserve"> </w:t>
      </w:r>
      <w:r>
        <w:t>источника</w:t>
      </w:r>
      <w:r w:rsidRPr="00C72072">
        <w:t xml:space="preserve"> </w:t>
      </w:r>
      <w:r>
        <w:t>излучения</w:t>
      </w:r>
      <w:r w:rsidRPr="00C72072">
        <w:t xml:space="preserve"> </w:t>
      </w:r>
      <w:r>
        <w:t>использовалась</w:t>
      </w:r>
      <w:r w:rsidRPr="00C72072">
        <w:t xml:space="preserve"> </w:t>
      </w:r>
      <w:r>
        <w:t xml:space="preserve">галогеновая лампа, которая обеспечивала непрерывный спектр излучения в диапазоне длин волн </w:t>
      </w:r>
      <w:r w:rsidRPr="00C72072">
        <w:t>350</w:t>
      </w:r>
      <w:r>
        <w:t xml:space="preserve"> нм – </w:t>
      </w:r>
      <w:r w:rsidRPr="00C72072">
        <w:t>3500</w:t>
      </w:r>
      <w:r>
        <w:rPr>
          <w:lang w:val="en-US"/>
        </w:rPr>
        <w:t> </w:t>
      </w:r>
      <w:bookmarkStart w:id="0" w:name="_GoBack"/>
      <w:bookmarkEnd w:id="0"/>
      <w:r>
        <w:t>нм</w:t>
      </w:r>
      <w:r w:rsidRPr="00C72072">
        <w:t>.</w:t>
      </w:r>
      <w:r>
        <w:t xml:space="preserve"> В остальном методика измерений была такой же, как в </w:t>
      </w:r>
      <w:r w:rsidRPr="00F5745B">
        <w:t>[1]</w:t>
      </w:r>
      <w:r>
        <w:t xml:space="preserve">. Измерялось также электрическое поле, </w:t>
      </w:r>
      <w:r w:rsidRPr="00AC7CC6">
        <w:rPr>
          <w:i/>
        </w:rPr>
        <w:t>Е</w:t>
      </w:r>
      <w:r>
        <w:t>, в положительном столбе разряда</w:t>
      </w:r>
      <w:r w:rsidRPr="00953081">
        <w:t>.</w:t>
      </w:r>
      <w:r>
        <w:t xml:space="preserve"> Для расчетов параметров плазмы </w:t>
      </w:r>
      <w:r>
        <w:rPr>
          <w:lang w:val="en-US"/>
        </w:rPr>
        <w:t>Ar</w:t>
      </w:r>
      <w:r w:rsidRPr="009E02EF">
        <w:t xml:space="preserve"> </w:t>
      </w:r>
      <w:r>
        <w:t xml:space="preserve">была использована </w:t>
      </w:r>
      <w:r w:rsidRPr="007A7B86">
        <w:t>1-мерн</w:t>
      </w:r>
      <w:r>
        <w:t>ая</w:t>
      </w:r>
      <w:r w:rsidRPr="007A7B86">
        <w:t xml:space="preserve"> (по радиусу трубки)</w:t>
      </w:r>
      <w:r>
        <w:t xml:space="preserve"> модель </w:t>
      </w:r>
      <w:r w:rsidRPr="00795BDA">
        <w:t>[</w:t>
      </w:r>
      <w:r>
        <w:t>2</w:t>
      </w:r>
      <w:r w:rsidRPr="00795BDA">
        <w:t>]</w:t>
      </w:r>
      <w: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9"/>
        <w:gridCol w:w="4935"/>
      </w:tblGrid>
      <w:tr w:rsidR="00EC0DC3" w:rsidTr="006254E1">
        <w:tc>
          <w:tcPr>
            <w:tcW w:w="4920" w:type="dxa"/>
          </w:tcPr>
          <w:p w:rsidR="00EC0DC3" w:rsidRDefault="00EC0DC3" w:rsidP="006254E1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2614" cy="22098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728" r="4057" b="8469"/>
                          <a:stretch/>
                        </pic:blipFill>
                        <pic:spPr bwMode="auto">
                          <a:xfrm>
                            <a:off x="0" y="0"/>
                            <a:ext cx="2972614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</w:tcPr>
          <w:p w:rsidR="00EC0DC3" w:rsidRDefault="00EC0DC3" w:rsidP="006254E1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6058" cy="2209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504" t="3607" r="11469" b="8852"/>
                          <a:stretch/>
                        </pic:blipFill>
                        <pic:spPr bwMode="auto">
                          <a:xfrm>
                            <a:off x="0" y="0"/>
                            <a:ext cx="2996058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DC3" w:rsidTr="006254E1">
        <w:tc>
          <w:tcPr>
            <w:tcW w:w="4920" w:type="dxa"/>
          </w:tcPr>
          <w:p w:rsidR="00EC0DC3" w:rsidRDefault="00EC0DC3" w:rsidP="006254E1">
            <w:pPr>
              <w:pStyle w:val="Zv-bodyreport"/>
              <w:ind w:firstLine="0"/>
              <w:jc w:val="center"/>
            </w:pPr>
            <w:r>
              <w:t>Рис. 1.</w:t>
            </w:r>
          </w:p>
        </w:tc>
        <w:tc>
          <w:tcPr>
            <w:tcW w:w="4934" w:type="dxa"/>
          </w:tcPr>
          <w:p w:rsidR="00EC0DC3" w:rsidRDefault="00EC0DC3" w:rsidP="006254E1">
            <w:pPr>
              <w:pStyle w:val="Zv-bodyreport"/>
              <w:ind w:firstLine="0"/>
              <w:jc w:val="center"/>
            </w:pPr>
            <w:r>
              <w:t>Рис. 2.</w:t>
            </w:r>
          </w:p>
        </w:tc>
      </w:tr>
    </w:tbl>
    <w:p w:rsidR="00EC0DC3" w:rsidRPr="00D04FE9" w:rsidRDefault="00EC0DC3" w:rsidP="00EC0DC3">
      <w:pPr>
        <w:pStyle w:val="Zv-bodyreport"/>
      </w:pPr>
      <w:r>
        <w:t>Согласно измерениям, добавка 0.1%</w:t>
      </w:r>
      <w:r>
        <w:rPr>
          <w:lang w:val="en-US"/>
        </w:rPr>
        <w:t>N</w:t>
      </w:r>
      <w:r w:rsidRPr="00D04FE9">
        <w:rPr>
          <w:vertAlign w:val="subscript"/>
        </w:rPr>
        <w:t>2</w:t>
      </w:r>
      <w:r w:rsidRPr="00D04FE9">
        <w:t xml:space="preserve"> в </w:t>
      </w:r>
      <w:r>
        <w:rPr>
          <w:lang w:val="en-US"/>
        </w:rPr>
        <w:t>Ar</w:t>
      </w:r>
      <w:r>
        <w:t xml:space="preserve"> приводит к значительному уменьшению концентрации атомов </w:t>
      </w:r>
      <w:r>
        <w:rPr>
          <w:lang w:val="en-US"/>
        </w:rPr>
        <w:t>Ar</w:t>
      </w:r>
      <w:r w:rsidRPr="00F21F27">
        <w:t>(1</w:t>
      </w:r>
      <w:r>
        <w:rPr>
          <w:lang w:val="en-US"/>
        </w:rPr>
        <w:t>s</w:t>
      </w:r>
      <w:r w:rsidRPr="00F21F27">
        <w:rPr>
          <w:vertAlign w:val="subscript"/>
        </w:rPr>
        <w:t>5</w:t>
      </w:r>
      <w:r>
        <w:t>) на оси трубки</w:t>
      </w:r>
      <w:r w:rsidRPr="003B183B">
        <w:t xml:space="preserve">: </w:t>
      </w:r>
      <w:r>
        <w:rPr>
          <w:lang w:val="en-US"/>
        </w:rPr>
        <w:t>c</w:t>
      </w:r>
      <w:r w:rsidRPr="003B183B">
        <w:t xml:space="preserve"> </w:t>
      </w:r>
      <w:r>
        <w:t>8</w:t>
      </w:r>
      <w:r>
        <w:rPr>
          <w:lang w:val="en-US"/>
        </w:rPr>
        <w:sym w:font="Symbol" w:char="F0B4"/>
      </w:r>
      <w:r w:rsidRPr="00D04FE9">
        <w:t>10</w:t>
      </w:r>
      <w:r w:rsidRPr="00D04FE9">
        <w:rPr>
          <w:vertAlign w:val="superscript"/>
        </w:rPr>
        <w:t>10</w:t>
      </w:r>
      <w:r w:rsidRPr="00D04FE9">
        <w:rPr>
          <w:vertAlign w:val="subscript"/>
        </w:rPr>
        <w:t xml:space="preserve"> </w:t>
      </w:r>
      <w:r>
        <w:t>см</w:t>
      </w:r>
      <w:r w:rsidRPr="00D04FE9">
        <w:rPr>
          <w:vertAlign w:val="superscript"/>
        </w:rPr>
        <w:t>-3</w:t>
      </w:r>
      <w:r>
        <w:t xml:space="preserve"> до</w:t>
      </w:r>
      <w:r w:rsidRPr="00505F43">
        <w:t xml:space="preserve"> </w:t>
      </w:r>
      <w:r>
        <w:t>2</w:t>
      </w:r>
      <w:r>
        <w:rPr>
          <w:lang w:val="en-US"/>
        </w:rPr>
        <w:sym w:font="Symbol" w:char="F0B4"/>
      </w:r>
      <w:r w:rsidRPr="00D04FE9">
        <w:t>10</w:t>
      </w:r>
      <w:r>
        <w:rPr>
          <w:vertAlign w:val="superscript"/>
        </w:rPr>
        <w:t>9</w:t>
      </w:r>
      <w:r w:rsidRPr="00D04FE9">
        <w:rPr>
          <w:vertAlign w:val="subscript"/>
        </w:rPr>
        <w:t xml:space="preserve"> </w:t>
      </w:r>
      <w:r>
        <w:t>см</w:t>
      </w:r>
      <w:r w:rsidRPr="00D04FE9">
        <w:rPr>
          <w:vertAlign w:val="superscript"/>
        </w:rPr>
        <w:t>-3</w:t>
      </w:r>
      <w:r w:rsidRPr="00505F43">
        <w:t xml:space="preserve"> </w:t>
      </w:r>
      <w:r>
        <w:t xml:space="preserve">для </w:t>
      </w:r>
      <w:r w:rsidRPr="00D04FE9">
        <w:rPr>
          <w:i/>
          <w:lang w:val="en-US"/>
        </w:rPr>
        <w:t>I</w:t>
      </w:r>
      <w:r>
        <w:t xml:space="preserve"> = 20 мА и</w:t>
      </w:r>
      <w:r w:rsidRPr="00505F43">
        <w:t xml:space="preserve"> </w:t>
      </w:r>
      <w:r>
        <w:rPr>
          <w:lang w:val="en-US"/>
        </w:rPr>
        <w:t>c</w:t>
      </w:r>
      <w:r w:rsidRPr="003B183B">
        <w:t xml:space="preserve"> </w:t>
      </w:r>
      <w:r>
        <w:t>6</w:t>
      </w:r>
      <w:r>
        <w:rPr>
          <w:lang w:val="en-US"/>
        </w:rPr>
        <w:sym w:font="Symbol" w:char="F0B4"/>
      </w:r>
      <w:r w:rsidRPr="00D04FE9">
        <w:t>10</w:t>
      </w:r>
      <w:r w:rsidRPr="00D04FE9">
        <w:rPr>
          <w:vertAlign w:val="superscript"/>
        </w:rPr>
        <w:t>1</w:t>
      </w:r>
      <w:r>
        <w:rPr>
          <w:vertAlign w:val="superscript"/>
        </w:rPr>
        <w:t>1</w:t>
      </w:r>
      <w:r w:rsidRPr="00D04FE9">
        <w:rPr>
          <w:vertAlign w:val="subscript"/>
        </w:rPr>
        <w:t xml:space="preserve"> </w:t>
      </w:r>
      <w:r>
        <w:t>см</w:t>
      </w:r>
      <w:r w:rsidRPr="00D04FE9">
        <w:rPr>
          <w:vertAlign w:val="superscript"/>
        </w:rPr>
        <w:t>-3</w:t>
      </w:r>
      <w:r>
        <w:t xml:space="preserve"> до</w:t>
      </w:r>
      <w:r w:rsidRPr="00505F43">
        <w:t xml:space="preserve"> </w:t>
      </w:r>
      <w:r>
        <w:t>3</w:t>
      </w:r>
      <w:r>
        <w:rPr>
          <w:lang w:val="en-US"/>
        </w:rPr>
        <w:sym w:font="Symbol" w:char="F0B4"/>
      </w:r>
      <w:r w:rsidRPr="00D04FE9">
        <w:t>10</w:t>
      </w:r>
      <w:r>
        <w:rPr>
          <w:vertAlign w:val="superscript"/>
        </w:rPr>
        <w:t>9</w:t>
      </w:r>
      <w:r w:rsidRPr="00D04FE9">
        <w:rPr>
          <w:vertAlign w:val="subscript"/>
        </w:rPr>
        <w:t xml:space="preserve"> </w:t>
      </w:r>
      <w:r>
        <w:t>см</w:t>
      </w:r>
      <w:r w:rsidRPr="00D04FE9">
        <w:rPr>
          <w:vertAlign w:val="superscript"/>
        </w:rPr>
        <w:t>-3</w:t>
      </w:r>
      <w:r w:rsidRPr="00505F43">
        <w:t xml:space="preserve"> </w:t>
      </w:r>
      <w:r>
        <w:t xml:space="preserve">для </w:t>
      </w:r>
      <w:r w:rsidRPr="00D04FE9">
        <w:rPr>
          <w:i/>
          <w:lang w:val="en-US"/>
        </w:rPr>
        <w:t>I</w:t>
      </w:r>
      <w:r>
        <w:t xml:space="preserve"> = 50 мА. При этом ширина радиального профиля концентрации атомов </w:t>
      </w:r>
      <w:r>
        <w:rPr>
          <w:lang w:val="en-US"/>
        </w:rPr>
        <w:t>Ar</w:t>
      </w:r>
      <w:r w:rsidRPr="00F21F27">
        <w:t>(1</w:t>
      </w:r>
      <w:r>
        <w:rPr>
          <w:lang w:val="en-US"/>
        </w:rPr>
        <w:t>s</w:t>
      </w:r>
      <w:r w:rsidRPr="00F21F27">
        <w:rPr>
          <w:vertAlign w:val="subscript"/>
        </w:rPr>
        <w:t>5</w:t>
      </w:r>
      <w:r>
        <w:t xml:space="preserve">) увеличивается (см. рис. 1). Заметим, что при </w:t>
      </w:r>
      <w:r w:rsidRPr="00505F43">
        <w:rPr>
          <w:i/>
          <w:lang w:val="en-US"/>
        </w:rPr>
        <w:t>I</w:t>
      </w:r>
      <w:r w:rsidRPr="00505F43">
        <w:t xml:space="preserve"> &gt; </w:t>
      </w:r>
      <w:r>
        <w:t xml:space="preserve">38 мА разряд в </w:t>
      </w:r>
      <w:r>
        <w:rPr>
          <w:lang w:val="en-US"/>
        </w:rPr>
        <w:t>Ar</w:t>
      </w:r>
      <w:r w:rsidRPr="00505F43">
        <w:t xml:space="preserve"> </w:t>
      </w:r>
      <w:r>
        <w:t xml:space="preserve">переходит из диффузной в контрагированную форму, в то время как в смеси </w:t>
      </w:r>
      <w:r>
        <w:rPr>
          <w:lang w:val="en-US"/>
        </w:rPr>
        <w:t>Ar</w:t>
      </w:r>
      <w:r w:rsidRPr="004213B9">
        <w:t>+0.1%</w:t>
      </w:r>
      <w:r>
        <w:rPr>
          <w:lang w:val="en-US"/>
        </w:rPr>
        <w:t>N</w:t>
      </w:r>
      <w:r w:rsidRPr="004213B9">
        <w:rPr>
          <w:vertAlign w:val="subscript"/>
        </w:rPr>
        <w:t>2</w:t>
      </w:r>
      <w:r>
        <w:t xml:space="preserve"> разряд горит в диффузном режиме во всем рассмотренном диапазоне токов (см. рис.2). Как видно из рис.2, добавка азота в аргон</w:t>
      </w:r>
      <w:r w:rsidRPr="001B34C0">
        <w:t xml:space="preserve"> </w:t>
      </w:r>
      <w:r>
        <w:t xml:space="preserve">значительно снижает электрическое поле в положительном столбе диффузного разряда. Ранее этот факт отмечался, например, в работе </w:t>
      </w:r>
      <w:r w:rsidRPr="00790001">
        <w:t>[3].</w:t>
      </w:r>
      <w:r w:rsidRPr="006C3839">
        <w:t xml:space="preserve"> </w:t>
      </w:r>
      <w:r>
        <w:t xml:space="preserve">Отметим также, что результаты расчетов для </w:t>
      </w:r>
      <w:r>
        <w:rPr>
          <w:lang w:val="en-US"/>
        </w:rPr>
        <w:t>Ar</w:t>
      </w:r>
      <w:r>
        <w:t xml:space="preserve"> хорошо согласуются с результатами измерений.</w:t>
      </w:r>
    </w:p>
    <w:p w:rsidR="00EC0DC3" w:rsidRDefault="00EC0DC3" w:rsidP="00EC0DC3">
      <w:pPr>
        <w:pStyle w:val="Zv-bodyreport"/>
      </w:pPr>
      <w:r>
        <w:t xml:space="preserve">Работа поддержана РФФИ, проект № </w:t>
      </w:r>
      <w:r w:rsidRPr="00B200B6">
        <w:t>16-02-00861</w:t>
      </w:r>
      <w:r>
        <w:t>-а.</w:t>
      </w:r>
    </w:p>
    <w:p w:rsidR="00EC0DC3" w:rsidRPr="0047632B" w:rsidRDefault="00EC0DC3" w:rsidP="00EC0DC3">
      <w:pPr>
        <w:pStyle w:val="Zv-TitleReferences-ru"/>
      </w:pPr>
      <w:r>
        <w:t>Литература.</w:t>
      </w:r>
    </w:p>
    <w:p w:rsidR="00EC0DC3" w:rsidRPr="00E6505E" w:rsidRDefault="00EC0DC3" w:rsidP="00EC0DC3">
      <w:pPr>
        <w:pStyle w:val="Zv-References-ru"/>
        <w:numPr>
          <w:ilvl w:val="0"/>
          <w:numId w:val="1"/>
        </w:numPr>
        <w:rPr>
          <w:b/>
        </w:rPr>
      </w:pPr>
      <w:r w:rsidRPr="00F5745B">
        <w:rPr>
          <w:lang w:val="en-US"/>
        </w:rPr>
        <w:t>Grigorian</w:t>
      </w:r>
      <w:r w:rsidRPr="00CB4DA3">
        <w:rPr>
          <w:lang w:val="en-US"/>
        </w:rPr>
        <w:t xml:space="preserve"> </w:t>
      </w:r>
      <w:r w:rsidRPr="00F5745B">
        <w:rPr>
          <w:lang w:val="en-US"/>
        </w:rPr>
        <w:t>G</w:t>
      </w:r>
      <w:r w:rsidRPr="00CB4DA3">
        <w:rPr>
          <w:lang w:val="en-US"/>
        </w:rPr>
        <w:t>.</w:t>
      </w:r>
      <w:r w:rsidRPr="00F5745B">
        <w:rPr>
          <w:lang w:val="en-US"/>
        </w:rPr>
        <w:t>M</w:t>
      </w:r>
      <w:r w:rsidRPr="00CB4DA3">
        <w:rPr>
          <w:lang w:val="en-US"/>
        </w:rPr>
        <w:t xml:space="preserve">., </w:t>
      </w:r>
      <w:r w:rsidRPr="00F5745B">
        <w:rPr>
          <w:lang w:val="en-US"/>
        </w:rPr>
        <w:t>Dyatko</w:t>
      </w:r>
      <w:r w:rsidRPr="00CB4DA3">
        <w:rPr>
          <w:lang w:val="en-US"/>
        </w:rPr>
        <w:t xml:space="preserve"> </w:t>
      </w:r>
      <w:r w:rsidRPr="00F5745B">
        <w:rPr>
          <w:lang w:val="en-US"/>
        </w:rPr>
        <w:t>N</w:t>
      </w:r>
      <w:r w:rsidRPr="00CB4DA3">
        <w:rPr>
          <w:lang w:val="en-US"/>
        </w:rPr>
        <w:t>.</w:t>
      </w:r>
      <w:r w:rsidRPr="00F5745B">
        <w:rPr>
          <w:lang w:val="en-US"/>
        </w:rPr>
        <w:t>A</w:t>
      </w:r>
      <w:r w:rsidRPr="00CB4DA3">
        <w:rPr>
          <w:lang w:val="en-US"/>
        </w:rPr>
        <w:t xml:space="preserve">., </w:t>
      </w:r>
      <w:r w:rsidRPr="00F5745B">
        <w:rPr>
          <w:lang w:val="en-US"/>
        </w:rPr>
        <w:t>Kochetov</w:t>
      </w:r>
      <w:r w:rsidRPr="00CB4DA3">
        <w:rPr>
          <w:lang w:val="en-US"/>
        </w:rPr>
        <w:t xml:space="preserve"> </w:t>
      </w:r>
      <w:r w:rsidRPr="00F5745B">
        <w:rPr>
          <w:lang w:val="en-US"/>
        </w:rPr>
        <w:t>I</w:t>
      </w:r>
      <w:r w:rsidRPr="00CB4DA3">
        <w:rPr>
          <w:lang w:val="en-US"/>
        </w:rPr>
        <w:t>.</w:t>
      </w:r>
      <w:r w:rsidRPr="00F5745B">
        <w:rPr>
          <w:lang w:val="en-US"/>
        </w:rPr>
        <w:t>V</w:t>
      </w:r>
      <w:r w:rsidRPr="00CB4DA3">
        <w:rPr>
          <w:lang w:val="en-US"/>
        </w:rPr>
        <w:t xml:space="preserve">. </w:t>
      </w:r>
      <w:r>
        <w:rPr>
          <w:lang w:val="en-US"/>
        </w:rPr>
        <w:t>J</w:t>
      </w:r>
      <w:r w:rsidRPr="00CB4DA3">
        <w:rPr>
          <w:lang w:val="en-US"/>
        </w:rPr>
        <w:t xml:space="preserve">. </w:t>
      </w:r>
      <w:r>
        <w:rPr>
          <w:lang w:val="en-US"/>
        </w:rPr>
        <w:t>Phys</w:t>
      </w:r>
      <w:r w:rsidRPr="00CB4DA3">
        <w:rPr>
          <w:lang w:val="en-US"/>
        </w:rPr>
        <w:t xml:space="preserve">. </w:t>
      </w:r>
      <w:r>
        <w:rPr>
          <w:lang w:val="en-US"/>
        </w:rPr>
        <w:t>D</w:t>
      </w:r>
      <w:r w:rsidRPr="00E6505E">
        <w:t xml:space="preserve">: </w:t>
      </w:r>
      <w:r>
        <w:rPr>
          <w:lang w:val="en-US"/>
        </w:rPr>
        <w:t>Appl</w:t>
      </w:r>
      <w:r w:rsidRPr="00E6505E">
        <w:t xml:space="preserve">. </w:t>
      </w:r>
      <w:r>
        <w:rPr>
          <w:lang w:val="en-US"/>
        </w:rPr>
        <w:t>Phys</w:t>
      </w:r>
      <w:r w:rsidRPr="00E6505E">
        <w:t xml:space="preserve">., 2015, </w:t>
      </w:r>
      <w:r>
        <w:rPr>
          <w:lang w:val="en-US"/>
        </w:rPr>
        <w:t>v</w:t>
      </w:r>
      <w:r>
        <w:t>.</w:t>
      </w:r>
      <w:r>
        <w:rPr>
          <w:lang w:val="en-US"/>
        </w:rPr>
        <w:t xml:space="preserve"> </w:t>
      </w:r>
      <w:r w:rsidRPr="00E6505E">
        <w:t>48, 445201.</w:t>
      </w:r>
    </w:p>
    <w:p w:rsidR="00EC0DC3" w:rsidRPr="00A14855" w:rsidRDefault="00EC0DC3" w:rsidP="00EC0DC3">
      <w:pPr>
        <w:pStyle w:val="Zv-References-ru"/>
        <w:numPr>
          <w:ilvl w:val="0"/>
          <w:numId w:val="1"/>
        </w:numPr>
        <w:rPr>
          <w:b/>
          <w:lang w:val="en-US"/>
        </w:rPr>
      </w:pPr>
      <w:r>
        <w:t>Dyatko N.</w:t>
      </w:r>
      <w:r w:rsidRPr="00AF3CB9">
        <w:t xml:space="preserve">A., </w:t>
      </w:r>
      <w:r>
        <w:t>Ionikh Y</w:t>
      </w:r>
      <w:r w:rsidRPr="00131CED">
        <w:t>.</w:t>
      </w:r>
      <w:r>
        <w:t>Z., Kochetov I.V., Marinov D.</w:t>
      </w:r>
      <w:r w:rsidRPr="008662C2">
        <w:t xml:space="preserve">L., Meschanov A.V. </w:t>
      </w:r>
      <w:r>
        <w:t>Napartovich A.P., Petrov F.B. and Starostin S.</w:t>
      </w:r>
      <w:r w:rsidRPr="008662C2">
        <w:t>A.</w:t>
      </w:r>
      <w:r w:rsidRPr="00AF3CB9">
        <w:t xml:space="preserve"> J. Phys. D: Appl. Phys</w:t>
      </w:r>
      <w:r>
        <w:t>.,</w:t>
      </w:r>
      <w:r w:rsidRPr="00AF3CB9">
        <w:t xml:space="preserve"> 2008</w:t>
      </w:r>
      <w:r>
        <w:t>,</w:t>
      </w:r>
      <w:r w:rsidRPr="00AF3CB9">
        <w:t xml:space="preserve"> </w:t>
      </w:r>
      <w:r>
        <w:t>v.</w:t>
      </w:r>
      <w:r>
        <w:rPr>
          <w:lang w:val="en-US"/>
        </w:rPr>
        <w:t xml:space="preserve"> </w:t>
      </w:r>
      <w:r w:rsidRPr="00AF3CB9">
        <w:t>41</w:t>
      </w:r>
      <w:r>
        <w:t>, 055204</w:t>
      </w:r>
      <w:r>
        <w:rPr>
          <w:lang w:val="en-US"/>
        </w:rPr>
        <w:t>.</w:t>
      </w:r>
    </w:p>
    <w:p w:rsidR="00EC0DC3" w:rsidRPr="00B41734" w:rsidRDefault="00EC0DC3" w:rsidP="00EC0DC3">
      <w:pPr>
        <w:pStyle w:val="Zv-References-ru"/>
        <w:numPr>
          <w:ilvl w:val="0"/>
          <w:numId w:val="1"/>
        </w:numPr>
        <w:rPr>
          <w:b/>
          <w:bCs/>
          <w:lang w:val="en-US"/>
        </w:rPr>
      </w:pPr>
      <w:r w:rsidRPr="00F4532C">
        <w:rPr>
          <w:lang w:val="en-US"/>
        </w:rPr>
        <w:t xml:space="preserve">Ionikh Y.Z, Dyatko N.A., Meshchanov A.V., NapartovichA.P., Petrov F.B. Plasma </w:t>
      </w:r>
      <w:r>
        <w:rPr>
          <w:lang w:val="en-US"/>
        </w:rPr>
        <w:t xml:space="preserve">Sources Sci. Technol., 2012, v. </w:t>
      </w:r>
      <w:r w:rsidRPr="00F4532C">
        <w:rPr>
          <w:lang w:val="en-US"/>
        </w:rPr>
        <w:t>21, 055008</w:t>
      </w:r>
      <w:r>
        <w:rPr>
          <w:lang w:val="en-US"/>
        </w:rPr>
        <w:t>.</w:t>
      </w:r>
    </w:p>
    <w:sectPr w:rsidR="00EC0DC3" w:rsidRPr="00B41734" w:rsidSect="00F95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13" w:rsidRDefault="00514013">
      <w:r>
        <w:separator/>
      </w:r>
    </w:p>
  </w:endnote>
  <w:endnote w:type="continuationSeparator" w:id="0">
    <w:p w:rsidR="00514013" w:rsidRDefault="00514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339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339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0DC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13" w:rsidRDefault="00514013">
      <w:r>
        <w:separator/>
      </w:r>
    </w:p>
  </w:footnote>
  <w:footnote w:type="continuationSeparator" w:id="0">
    <w:p w:rsidR="00514013" w:rsidRDefault="00514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C0DC3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D5339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401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14013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53394"/>
    <w:rsid w:val="00D900FB"/>
    <w:rsid w:val="00DA1D0D"/>
    <w:rsid w:val="00E7021A"/>
    <w:rsid w:val="00E87733"/>
    <w:rsid w:val="00EC0DC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DC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nhideWhenUsed/>
    <w:rsid w:val="00EC0DC3"/>
    <w:rPr>
      <w:color w:val="0000FF"/>
      <w:u w:val="single"/>
    </w:rPr>
  </w:style>
  <w:style w:type="table" w:styleId="a9">
    <w:name w:val="Table Grid"/>
    <w:basedOn w:val="a1"/>
    <w:rsid w:val="00EC0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C0D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C0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atko@triniti.ru%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lgr2@rambler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ПРИМЕСИ АЗОТА НА ВЕЛИЧИНУ И РАДИАЛЬНОЕ РАСПРЕДЕЛЕНИЕ КОНЦЕНТРАЦИИ МЕТАСТАБИЛЬНЫХ АТОМОВ В РАЗРЯДЕ ПОСТОЯННОГО ТОКА В АРГОНЕ</dc:title>
  <dc:creator>sato</dc:creator>
  <cp:lastModifiedBy>Сатунин</cp:lastModifiedBy>
  <cp:revision>1</cp:revision>
  <cp:lastPrinted>1601-01-01T00:00:00Z</cp:lastPrinted>
  <dcterms:created xsi:type="dcterms:W3CDTF">2018-02-12T18:55:00Z</dcterms:created>
  <dcterms:modified xsi:type="dcterms:W3CDTF">2018-02-12T19:00:00Z</dcterms:modified>
</cp:coreProperties>
</file>