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E8" w:rsidRDefault="00C843E8" w:rsidP="00C843E8">
      <w:pPr>
        <w:pStyle w:val="Zv-Titlereport"/>
      </w:pPr>
      <w:r>
        <w:t>АНАЛИТИЧЕСКОЕ</w:t>
      </w:r>
      <w:r w:rsidRPr="00F823F1">
        <w:t xml:space="preserve"> ДОКАЗАТЕЛЬСТВО РА</w:t>
      </w:r>
      <w:r>
        <w:t xml:space="preserve">ЗДЕЛЕНИЯ МАТЕРИИ И АНТИМАТЕРИИ </w:t>
      </w:r>
      <w:r w:rsidRPr="00F823F1">
        <w:t>ВО ВСЕЛ</w:t>
      </w:r>
      <w:r>
        <w:t>ЕННОЙ В РЕЗУЛЬТАТЕ ФАЗОВОГО ВЗ</w:t>
      </w:r>
      <w:r w:rsidRPr="00F823F1">
        <w:t>РЫВА</w:t>
      </w:r>
    </w:p>
    <w:p w:rsidR="00C843E8" w:rsidRDefault="00C843E8" w:rsidP="00C843E8">
      <w:pPr>
        <w:pStyle w:val="Zv-Author"/>
      </w:pPr>
      <w:r>
        <w:t>Гордеев</w:t>
      </w:r>
      <w:r w:rsidRPr="00F8254D">
        <w:t xml:space="preserve"> </w:t>
      </w:r>
      <w:r>
        <w:t>А.В.</w:t>
      </w:r>
    </w:p>
    <w:p w:rsidR="00C843E8" w:rsidRDefault="00C843E8" w:rsidP="00C843E8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667FA3">
          <w:rPr>
            <w:rStyle w:val="a8"/>
          </w:rPr>
          <w:t>alexandergordeev@yandex.ru</w:t>
        </w:r>
      </w:hyperlink>
    </w:p>
    <w:p w:rsidR="00C843E8" w:rsidRPr="00F8254D" w:rsidRDefault="00C843E8" w:rsidP="00C843E8">
      <w:pPr>
        <w:pStyle w:val="Zv-bodyreport"/>
      </w:pPr>
      <w:r w:rsidRPr="008E5D20">
        <w:t>Формирование потока электромагнитного поля в сингулярности [1] в отсутствие заряженных частиц не приводит к вылету материи ввиду отражения</w:t>
      </w:r>
      <w:r>
        <w:t xml:space="preserve"> от гравитации. Реальный вылет материи оказывается возможным в результате фазового взрыва – одновременного появления радиального электрического поля </w:t>
      </w:r>
      <w:r w:rsidRPr="00D6323A">
        <w:rPr>
          <w:position w:val="-10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8" o:title=""/>
          </v:shape>
          <o:OLEObject Type="Embed" ProgID="Equation.3" ShapeID="_x0000_i1025" DrawAspect="Content" ObjectID="_1579958818" r:id="rId9"/>
        </w:object>
      </w:r>
      <w:r>
        <w:t xml:space="preserve"> и швингеровского рождения заряженных частиц вне сингулярности при учёте уравнения Пуассона [2].</w:t>
      </w:r>
    </w:p>
    <w:p w:rsidR="00C843E8" w:rsidRPr="00EC086D" w:rsidRDefault="00C843E8" w:rsidP="00C843E8">
      <w:pPr>
        <w:pStyle w:val="Zv-formula"/>
      </w:pPr>
      <w:r w:rsidRPr="00C843E8">
        <w:t xml:space="preserve"> </w:t>
      </w:r>
      <w:r>
        <w:tab/>
      </w:r>
      <w:r w:rsidRPr="00D6323A">
        <w:rPr>
          <w:position w:val="-24"/>
        </w:rPr>
        <w:object w:dxaOrig="1960" w:dyaOrig="660">
          <v:shape id="_x0000_i1026" type="#_x0000_t75" style="width:98.25pt;height:33pt" o:ole="">
            <v:imagedata r:id="rId10" o:title=""/>
          </v:shape>
          <o:OLEObject Type="Embed" ProgID="Equation.3" ShapeID="_x0000_i1026" DrawAspect="Content" ObjectID="_1579958819" r:id="rId11"/>
        </w:object>
      </w:r>
      <w:r w:rsidRPr="00EC086D">
        <w:t>,</w:t>
      </w:r>
      <w:r>
        <w:t xml:space="preserve">  </w:t>
      </w:r>
      <w:r w:rsidRPr="00235C7D">
        <w:rPr>
          <w:position w:val="-32"/>
        </w:rPr>
        <w:object w:dxaOrig="3180" w:dyaOrig="760">
          <v:shape id="_x0000_i1027" type="#_x0000_t75" style="width:159pt;height:38.25pt" o:ole="">
            <v:imagedata r:id="rId12" o:title=""/>
          </v:shape>
          <o:OLEObject Type="Embed" ProgID="Equation.3" ShapeID="_x0000_i1027" DrawAspect="Content" ObjectID="_1579958820" r:id="rId13"/>
        </w:object>
      </w:r>
      <w:r w:rsidRPr="00EC086D">
        <w:t xml:space="preserve">,  </w:t>
      </w:r>
      <w:r w:rsidRPr="00235C7D">
        <w:rPr>
          <w:position w:val="-32"/>
          <w:lang w:val="en-US"/>
        </w:rPr>
        <w:object w:dxaOrig="1420" w:dyaOrig="760">
          <v:shape id="_x0000_i1028" type="#_x0000_t75" style="width:71.25pt;height:38.25pt" o:ole="">
            <v:imagedata r:id="rId14" o:title=""/>
          </v:shape>
          <o:OLEObject Type="Embed" ProgID="Equation.3" ShapeID="_x0000_i1028" DrawAspect="Content" ObjectID="_1579958821" r:id="rId15"/>
        </w:object>
      </w:r>
      <w:r w:rsidRPr="00EC086D">
        <w:t>,</w:t>
      </w:r>
      <w:r>
        <w:tab/>
      </w:r>
      <w:r w:rsidRPr="00EC086D">
        <w:t>(1)</w:t>
      </w:r>
    </w:p>
    <w:p w:rsidR="00C843E8" w:rsidRPr="00EC086D" w:rsidRDefault="00C843E8" w:rsidP="00C843E8">
      <w:pPr>
        <w:pStyle w:val="Zv-bodyreport"/>
        <w:ind w:firstLine="0"/>
      </w:pPr>
      <w:r w:rsidRPr="00EC086D">
        <w:t xml:space="preserve">   </w:t>
      </w:r>
      <w:r>
        <w:t>г</w:t>
      </w:r>
      <w:r w:rsidRPr="00EC086D">
        <w:t xml:space="preserve">де </w:t>
      </w:r>
      <w:r>
        <w:t xml:space="preserve"> </w:t>
      </w:r>
      <w:r w:rsidRPr="00D154A5">
        <w:rPr>
          <w:position w:val="-30"/>
        </w:rPr>
        <w:object w:dxaOrig="1359" w:dyaOrig="680">
          <v:shape id="_x0000_i1029" type="#_x0000_t75" style="width:68.25pt;height:33.75pt" o:ole="">
            <v:imagedata r:id="rId16" o:title=""/>
          </v:shape>
          <o:OLEObject Type="Embed" ProgID="Equation.3" ShapeID="_x0000_i1029" DrawAspect="Content" ObjectID="_1579958822" r:id="rId17"/>
        </w:object>
      </w:r>
      <w:r w:rsidRPr="00EC086D">
        <w:t xml:space="preserve">,  </w:t>
      </w:r>
      <w:r w:rsidRPr="00D154A5">
        <w:rPr>
          <w:position w:val="-26"/>
          <w:lang w:val="en-US"/>
        </w:rPr>
        <w:object w:dxaOrig="1200" w:dyaOrig="700">
          <v:shape id="_x0000_i1030" type="#_x0000_t75" style="width:60pt;height:35.25pt" o:ole="">
            <v:imagedata r:id="rId18" o:title=""/>
          </v:shape>
          <o:OLEObject Type="Embed" ProgID="Equation.3" ShapeID="_x0000_i1030" DrawAspect="Content" ObjectID="_1579958823" r:id="rId19"/>
        </w:object>
      </w:r>
      <w:r w:rsidRPr="00EC086D">
        <w:t xml:space="preserve">, </w:t>
      </w:r>
      <w:r w:rsidRPr="00A10259">
        <w:rPr>
          <w:position w:val="-24"/>
          <w:lang w:val="en-US"/>
        </w:rPr>
        <w:object w:dxaOrig="1100" w:dyaOrig="620">
          <v:shape id="_x0000_i1031" type="#_x0000_t75" style="width:54.75pt;height:30.75pt" o:ole="">
            <v:imagedata r:id="rId20" o:title=""/>
          </v:shape>
          <o:OLEObject Type="Embed" ProgID="Equation.3" ShapeID="_x0000_i1031" DrawAspect="Content" ObjectID="_1579958824" r:id="rId21"/>
        </w:object>
      </w:r>
      <w:r w:rsidRPr="00EC086D">
        <w:t xml:space="preserve">,  </w:t>
      </w:r>
      <w:r w:rsidRPr="00817B5A">
        <w:rPr>
          <w:position w:val="-26"/>
          <w:lang w:val="en-US"/>
        </w:rPr>
        <w:object w:dxaOrig="1120" w:dyaOrig="700">
          <v:shape id="_x0000_i1032" type="#_x0000_t75" style="width:56.25pt;height:35.25pt" o:ole="">
            <v:imagedata r:id="rId22" o:title=""/>
          </v:shape>
          <o:OLEObject Type="Embed" ProgID="Equation.3" ShapeID="_x0000_i1032" DrawAspect="Content" ObjectID="_1579958825" r:id="rId23"/>
        </w:object>
      </w:r>
      <w:r w:rsidRPr="00EC086D">
        <w:t xml:space="preserve"> , </w:t>
      </w:r>
      <w:r w:rsidRPr="00817B5A">
        <w:rPr>
          <w:position w:val="-24"/>
          <w:lang w:val="en-US"/>
        </w:rPr>
        <w:object w:dxaOrig="1219" w:dyaOrig="660">
          <v:shape id="_x0000_i1033" type="#_x0000_t75" style="width:60.75pt;height:33pt" o:ole="">
            <v:imagedata r:id="rId24" o:title=""/>
          </v:shape>
          <o:OLEObject Type="Embed" ProgID="Equation.3" ShapeID="_x0000_i1033" DrawAspect="Content" ObjectID="_1579958826" r:id="rId25"/>
        </w:object>
      </w:r>
      <w:r w:rsidRPr="00EC086D">
        <w:t xml:space="preserve">, </w:t>
      </w:r>
      <w:r w:rsidRPr="00817B5A">
        <w:rPr>
          <w:position w:val="-12"/>
          <w:lang w:val="en-US"/>
        </w:rPr>
        <w:object w:dxaOrig="1120" w:dyaOrig="360">
          <v:shape id="_x0000_i1034" type="#_x0000_t75" style="width:56.25pt;height:18pt" o:ole="">
            <v:imagedata r:id="rId26" o:title=""/>
          </v:shape>
          <o:OLEObject Type="Embed" ProgID="Equation.3" ShapeID="_x0000_i1034" DrawAspect="Content" ObjectID="_1579958827" r:id="rId27"/>
        </w:object>
      </w:r>
      <w:r>
        <w:t>.</w:t>
      </w:r>
    </w:p>
    <w:p w:rsidR="00C843E8" w:rsidRDefault="00C843E8" w:rsidP="00C843E8">
      <w:pPr>
        <w:pStyle w:val="Zv-bodyreportcont"/>
      </w:pPr>
      <w:r>
        <w:t xml:space="preserve">Если аппроксимировать </w:t>
      </w:r>
      <w:r w:rsidRPr="004D6562">
        <w:rPr>
          <w:position w:val="-10"/>
        </w:rPr>
        <w:object w:dxaOrig="740" w:dyaOrig="340">
          <v:shape id="_x0000_i1035" type="#_x0000_t75" style="width:36.75pt;height:17.25pt" o:ole="">
            <v:imagedata r:id="rId28" o:title=""/>
          </v:shape>
          <o:OLEObject Type="Embed" ProgID="Equation.3" ShapeID="_x0000_i1035" DrawAspect="Content" ObjectID="_1579958828" r:id="rId29"/>
        </w:object>
      </w:r>
      <w:r>
        <w:t xml:space="preserve"> вблизи сингулярности постоянной </w:t>
      </w:r>
      <w:r w:rsidRPr="004D6562">
        <w:rPr>
          <w:position w:val="-6"/>
        </w:rPr>
        <w:object w:dxaOrig="200" w:dyaOrig="279">
          <v:shape id="_x0000_i1036" type="#_x0000_t75" style="width:9.75pt;height:14.25pt" o:ole="">
            <v:imagedata r:id="rId30" o:title=""/>
          </v:shape>
          <o:OLEObject Type="Embed" ProgID="Equation.3" ShapeID="_x0000_i1036" DrawAspect="Content" ObjectID="_1579958829" r:id="rId31"/>
        </w:object>
      </w:r>
      <w:r>
        <w:t xml:space="preserve"> [3] и подставить </w:t>
      </w:r>
    </w:p>
    <w:p w:rsidR="00C843E8" w:rsidRDefault="00C843E8" w:rsidP="00C843E8">
      <w:pPr>
        <w:pStyle w:val="Zv-formula"/>
      </w:pPr>
      <w:r>
        <w:rPr>
          <w:lang w:val="en-US"/>
        </w:rPr>
        <w:t xml:space="preserve"> </w:t>
      </w:r>
      <w:r>
        <w:tab/>
      </w:r>
      <w:r w:rsidRPr="006C2D17">
        <w:rPr>
          <w:position w:val="-28"/>
        </w:rPr>
        <w:object w:dxaOrig="2439" w:dyaOrig="680">
          <v:shape id="_x0000_i1037" type="#_x0000_t75" style="width:122.25pt;height:33.75pt" o:ole="">
            <v:imagedata r:id="rId32" o:title=""/>
          </v:shape>
          <o:OLEObject Type="Embed" ProgID="Equation.3" ShapeID="_x0000_i1037" DrawAspect="Content" ObjectID="_1579958830" r:id="rId33"/>
        </w:object>
      </w:r>
      <w:r>
        <w:tab/>
        <w:t>(2)</w:t>
      </w:r>
    </w:p>
    <w:p w:rsidR="00C843E8" w:rsidRDefault="00C843E8" w:rsidP="00C843E8">
      <w:pPr>
        <w:pStyle w:val="Zv-bodyreportcont"/>
      </w:pPr>
      <w:r>
        <w:t>в уравнение  (1),  то после преобразований  получим</w:t>
      </w:r>
    </w:p>
    <w:p w:rsidR="00C843E8" w:rsidRPr="00DB21F6" w:rsidRDefault="00C843E8" w:rsidP="00C843E8">
      <w:pPr>
        <w:pStyle w:val="Zv-formula"/>
      </w:pPr>
      <w:r>
        <w:rPr>
          <w:lang w:val="en-US"/>
        </w:rPr>
        <w:t xml:space="preserve"> </w:t>
      </w:r>
      <w:r>
        <w:tab/>
      </w:r>
      <w:r w:rsidRPr="006C2D17">
        <w:rPr>
          <w:position w:val="-24"/>
        </w:rPr>
        <w:object w:dxaOrig="1939" w:dyaOrig="660">
          <v:shape id="_x0000_i1038" type="#_x0000_t75" style="width:96.75pt;height:33pt" o:ole="">
            <v:imagedata r:id="rId34" o:title=""/>
          </v:shape>
          <o:OLEObject Type="Embed" ProgID="Equation.3" ShapeID="_x0000_i1038" DrawAspect="Content" ObjectID="_1579958831" r:id="rId35"/>
        </w:object>
      </w:r>
      <w:r w:rsidRPr="00DB21F6">
        <w:t xml:space="preserve">,   </w:t>
      </w:r>
      <w:r w:rsidRPr="00DB21F6">
        <w:rPr>
          <w:position w:val="-24"/>
          <w:lang w:val="en-US"/>
        </w:rPr>
        <w:object w:dxaOrig="620" w:dyaOrig="620">
          <v:shape id="_x0000_i1039" type="#_x0000_t75" style="width:30.75pt;height:30.75pt" o:ole="">
            <v:imagedata r:id="rId36" o:title=""/>
          </v:shape>
          <o:OLEObject Type="Embed" ProgID="Equation.3" ShapeID="_x0000_i1039" DrawAspect="Content" ObjectID="_1579958832" r:id="rId37"/>
        </w:object>
      </w:r>
      <w:r w:rsidRPr="00DB21F6">
        <w:t>.</w:t>
      </w:r>
      <w:r>
        <w:tab/>
      </w:r>
      <w:r w:rsidRPr="00DB21F6">
        <w:t>(3)</w:t>
      </w:r>
    </w:p>
    <w:p w:rsidR="00C843E8" w:rsidRDefault="00C843E8" w:rsidP="00C843E8">
      <w:pPr>
        <w:pStyle w:val="Zv-bodyreportcont"/>
      </w:pPr>
      <w:r>
        <w:t>Это уравнение можно преобразовать</w:t>
      </w:r>
      <w:r w:rsidRPr="00DB21F6">
        <w:t xml:space="preserve"> методом ва</w:t>
      </w:r>
      <w:r>
        <w:t xml:space="preserve">риации постоянных к </w:t>
      </w:r>
      <w:r w:rsidRPr="00DB21F6">
        <w:t xml:space="preserve">следующему интегральному виду </w:t>
      </w:r>
    </w:p>
    <w:p w:rsidR="00C843E8" w:rsidRPr="00EC086D" w:rsidRDefault="00C843E8" w:rsidP="00C843E8">
      <w:pPr>
        <w:pStyle w:val="Zv-formula"/>
      </w:pPr>
      <w:r>
        <w:rPr>
          <w:lang w:val="en-US"/>
        </w:rPr>
        <w:t xml:space="preserve"> </w:t>
      </w:r>
      <w:r>
        <w:tab/>
      </w:r>
      <w:r w:rsidRPr="00603F1F">
        <w:rPr>
          <w:position w:val="-32"/>
        </w:rPr>
        <w:object w:dxaOrig="2120" w:dyaOrig="760">
          <v:shape id="_x0000_i1040" type="#_x0000_t75" style="width:105.75pt;height:38.25pt" o:ole="">
            <v:imagedata r:id="rId38" o:title=""/>
          </v:shape>
          <o:OLEObject Type="Embed" ProgID="Equation.3" ShapeID="_x0000_i1040" DrawAspect="Content" ObjectID="_1579958833" r:id="rId39"/>
        </w:object>
      </w:r>
      <w:r>
        <w:tab/>
      </w:r>
      <w:r w:rsidRPr="00EC086D">
        <w:t>(4)</w:t>
      </w:r>
    </w:p>
    <w:p w:rsidR="00C843E8" w:rsidRPr="00EC086D" w:rsidRDefault="00C843E8" w:rsidP="00C843E8">
      <w:pPr>
        <w:pStyle w:val="Zv-bodyreport"/>
        <w:ind w:firstLine="0"/>
      </w:pPr>
    </w:p>
    <w:p w:rsidR="00C843E8" w:rsidRDefault="00C843E8" w:rsidP="00C843E8">
      <w:pPr>
        <w:pStyle w:val="Zv-bodyreport"/>
      </w:pPr>
      <w:r w:rsidRPr="00676881">
        <w:t xml:space="preserve">Тогда для фиксированного </w:t>
      </w:r>
      <w:r w:rsidRPr="00676881">
        <w:rPr>
          <w:position w:val="-6"/>
          <w:lang w:val="en-US"/>
        </w:rPr>
        <w:object w:dxaOrig="180" w:dyaOrig="220">
          <v:shape id="_x0000_i1041" type="#_x0000_t75" style="width:9pt;height:11.25pt" o:ole="">
            <v:imagedata r:id="rId40" o:title=""/>
          </v:shape>
          <o:OLEObject Type="Embed" ProgID="Equation.3" ShapeID="_x0000_i1041" DrawAspect="Content" ObjectID="_1579958834" r:id="rId41"/>
        </w:object>
      </w:r>
      <w:r>
        <w:t xml:space="preserve"> с течением времени </w:t>
      </w:r>
      <w:r w:rsidRPr="00676881">
        <w:rPr>
          <w:position w:val="-6"/>
        </w:rPr>
        <w:object w:dxaOrig="180" w:dyaOrig="220">
          <v:shape id="_x0000_i1042" type="#_x0000_t75" style="width:9pt;height:11.25pt" o:ole="">
            <v:imagedata r:id="rId42" o:title=""/>
          </v:shape>
          <o:OLEObject Type="Embed" ProgID="Equation.3" ShapeID="_x0000_i1042" DrawAspect="Content" ObjectID="_1579958835" r:id="rId43"/>
        </w:object>
      </w:r>
      <w:r>
        <w:t xml:space="preserve"> радиальное электрическое поле </w:t>
      </w:r>
      <w:r w:rsidRPr="00676881">
        <w:rPr>
          <w:position w:val="-10"/>
        </w:rPr>
        <w:object w:dxaOrig="740" w:dyaOrig="340">
          <v:shape id="_x0000_i1043" type="#_x0000_t75" style="width:36.75pt;height:17.25pt" o:ole="">
            <v:imagedata r:id="rId44" o:title=""/>
          </v:shape>
          <o:OLEObject Type="Embed" ProgID="Equation.3" ShapeID="_x0000_i1043" DrawAspect="Content" ObjectID="_1579958836" r:id="rId45"/>
        </w:object>
      </w:r>
      <w:r>
        <w:t xml:space="preserve"> нарастает по абсолютной величине. А для фиксированного </w:t>
      </w:r>
      <w:r w:rsidRPr="00676881">
        <w:rPr>
          <w:position w:val="-6"/>
        </w:rPr>
        <w:object w:dxaOrig="180" w:dyaOrig="220">
          <v:shape id="_x0000_i1044" type="#_x0000_t75" style="width:9pt;height:11.25pt" o:ole="">
            <v:imagedata r:id="rId46" o:title=""/>
          </v:shape>
          <o:OLEObject Type="Embed" ProgID="Equation.3" ShapeID="_x0000_i1044" DrawAspect="Content" ObjectID="_1579958837" r:id="rId47"/>
        </w:object>
      </w:r>
      <w:r>
        <w:t xml:space="preserve">  радиальное электрическое поле </w:t>
      </w:r>
      <w:r w:rsidRPr="00676881">
        <w:rPr>
          <w:position w:val="-10"/>
        </w:rPr>
        <w:object w:dxaOrig="740" w:dyaOrig="340">
          <v:shape id="_x0000_i1045" type="#_x0000_t75" style="width:36.75pt;height:17.25pt" o:ole="">
            <v:imagedata r:id="rId48" o:title=""/>
          </v:shape>
          <o:OLEObject Type="Embed" ProgID="Equation.3" ShapeID="_x0000_i1045" DrawAspect="Content" ObjectID="_1579958838" r:id="rId49"/>
        </w:object>
      </w:r>
      <w:r>
        <w:t xml:space="preserve"> нарастает по абсолютной величине с уменьшением радиальной координаты </w:t>
      </w:r>
      <w:r w:rsidRPr="00676881">
        <w:rPr>
          <w:position w:val="-6"/>
        </w:rPr>
        <w:object w:dxaOrig="180" w:dyaOrig="220">
          <v:shape id="_x0000_i1046" type="#_x0000_t75" style="width:9pt;height:11.25pt" o:ole="">
            <v:imagedata r:id="rId50" o:title=""/>
          </v:shape>
          <o:OLEObject Type="Embed" ProgID="Equation.3" ShapeID="_x0000_i1046" DrawAspect="Content" ObjectID="_1579958839" r:id="rId51"/>
        </w:object>
      </w:r>
      <w:r>
        <w:t>, что означает разделение зарядов с увеличением концентрации антиматерии вблизи сингулярности. В этом случае обычная материя по большей части локализуется на периферии Вселенной. Таким образом, сценарий эволюции Вселенной с разделением материи и антиматерии оказывается возможным [4].</w:t>
      </w:r>
    </w:p>
    <w:p w:rsidR="00C843E8" w:rsidRDefault="00C843E8" w:rsidP="00C843E8">
      <w:pPr>
        <w:pStyle w:val="Zv-TitleReferences-ru"/>
      </w:pPr>
      <w:r>
        <w:t>Литература.</w:t>
      </w:r>
    </w:p>
    <w:p w:rsidR="00C843E8" w:rsidRPr="00B742CA" w:rsidRDefault="00C843E8" w:rsidP="00C843E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Hawking</w:t>
      </w:r>
      <w:r w:rsidRPr="00B742CA">
        <w:rPr>
          <w:lang w:val="en-US"/>
        </w:rPr>
        <w:t xml:space="preserve"> </w:t>
      </w:r>
      <w:r>
        <w:rPr>
          <w:lang w:val="en-US"/>
        </w:rPr>
        <w:t>S</w:t>
      </w:r>
      <w:r w:rsidRPr="00B742CA">
        <w:rPr>
          <w:lang w:val="en-US"/>
        </w:rPr>
        <w:t>.</w:t>
      </w:r>
      <w:r>
        <w:rPr>
          <w:lang w:val="en-US"/>
        </w:rPr>
        <w:t>W</w:t>
      </w:r>
      <w:r w:rsidRPr="00B742CA">
        <w:rPr>
          <w:lang w:val="en-US"/>
        </w:rPr>
        <w:t xml:space="preserve">., </w:t>
      </w:r>
      <w:r>
        <w:rPr>
          <w:lang w:val="en-US"/>
        </w:rPr>
        <w:t>Penrose</w:t>
      </w:r>
      <w:r w:rsidRPr="00B742CA">
        <w:rPr>
          <w:lang w:val="en-US"/>
        </w:rPr>
        <w:t xml:space="preserve"> </w:t>
      </w:r>
      <w:r>
        <w:rPr>
          <w:lang w:val="en-US"/>
        </w:rPr>
        <w:t>R</w:t>
      </w:r>
      <w:r w:rsidRPr="00B742CA">
        <w:rPr>
          <w:lang w:val="en-US"/>
        </w:rPr>
        <w:t>.//</w:t>
      </w:r>
      <w:r>
        <w:rPr>
          <w:lang w:val="en-US"/>
        </w:rPr>
        <w:t>Proc</w:t>
      </w:r>
      <w:r w:rsidRPr="00B742CA">
        <w:rPr>
          <w:lang w:val="en-US"/>
        </w:rPr>
        <w:t xml:space="preserve">. </w:t>
      </w:r>
      <w:r>
        <w:rPr>
          <w:lang w:val="en-US"/>
        </w:rPr>
        <w:t>Roy</w:t>
      </w:r>
      <w:r w:rsidRPr="00B742CA">
        <w:rPr>
          <w:lang w:val="en-US"/>
        </w:rPr>
        <w:t>.</w:t>
      </w:r>
      <w:r>
        <w:rPr>
          <w:lang w:val="en-US"/>
        </w:rPr>
        <w:t>Soc</w:t>
      </w:r>
      <w:r w:rsidRPr="00B742CA">
        <w:rPr>
          <w:lang w:val="en-US"/>
        </w:rPr>
        <w:t>.</w:t>
      </w:r>
      <w:r>
        <w:rPr>
          <w:lang w:val="en-US"/>
        </w:rPr>
        <w:t>Lond</w:t>
      </w:r>
      <w:r w:rsidRPr="00B742CA">
        <w:rPr>
          <w:lang w:val="en-US"/>
        </w:rPr>
        <w:t xml:space="preserve">. </w:t>
      </w:r>
      <w:r>
        <w:rPr>
          <w:lang w:val="en-US"/>
        </w:rPr>
        <w:t>A</w:t>
      </w:r>
      <w:r w:rsidRPr="00B742CA">
        <w:rPr>
          <w:lang w:val="en-US"/>
        </w:rPr>
        <w:t xml:space="preserve">. 314,  529- 548 (1970) </w:t>
      </w:r>
      <w:r>
        <w:rPr>
          <w:lang w:val="en-US"/>
        </w:rPr>
        <w:t>Printed</w:t>
      </w:r>
      <w:r w:rsidRPr="00B742CA">
        <w:rPr>
          <w:lang w:val="en-US"/>
        </w:rPr>
        <w:t xml:space="preserve">  </w:t>
      </w:r>
      <w:r>
        <w:rPr>
          <w:lang w:val="en-US"/>
        </w:rPr>
        <w:t>in</w:t>
      </w:r>
      <w:r w:rsidRPr="00B742CA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Great</w:t>
          </w:r>
          <w:r w:rsidRPr="00B742CA">
            <w:rPr>
              <w:lang w:val="en-US"/>
            </w:rPr>
            <w:t xml:space="preserve"> </w:t>
          </w:r>
          <w:r>
            <w:rPr>
              <w:lang w:val="en-US"/>
            </w:rPr>
            <w:t>Britain</w:t>
          </w:r>
        </w:smartTag>
      </w:smartTag>
      <w:r w:rsidRPr="00B742CA">
        <w:rPr>
          <w:lang w:val="en-US"/>
        </w:rPr>
        <w:t>.</w:t>
      </w:r>
    </w:p>
    <w:p w:rsidR="00C843E8" w:rsidRDefault="00C843E8" w:rsidP="00C843E8">
      <w:pPr>
        <w:pStyle w:val="Zv-References-ru"/>
        <w:numPr>
          <w:ilvl w:val="0"/>
          <w:numId w:val="1"/>
        </w:numPr>
      </w:pPr>
      <w:r>
        <w:t>Ритус  В.И.,  Никишов  А. И./</w:t>
      </w:r>
      <w:r w:rsidRPr="00E87A43">
        <w:t xml:space="preserve">/Квантовая  электродинамика явлений в интенсивном поле. </w:t>
      </w:r>
      <w:r>
        <w:t>Труды  ФИАН., т.111. М.: Наука, 1979.</w:t>
      </w:r>
    </w:p>
    <w:p w:rsidR="00C843E8" w:rsidRPr="005C3FE6" w:rsidRDefault="00C843E8" w:rsidP="00C843E8">
      <w:pPr>
        <w:pStyle w:val="Zv-References-ru"/>
        <w:numPr>
          <w:ilvl w:val="0"/>
          <w:numId w:val="1"/>
        </w:numPr>
      </w:pPr>
      <w:r>
        <w:t xml:space="preserve">Гордеев А.В.// 44-я Международная (Звенигородская) конференция по физике плазмы и УТС,  г. Звенигород,13 – 17 февраля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Тез. докл., </w:t>
      </w:r>
      <w:r w:rsidRPr="00644A63">
        <w:t xml:space="preserve">с. </w:t>
      </w:r>
      <w:r>
        <w:t>232.</w:t>
      </w:r>
    </w:p>
    <w:p w:rsidR="00C843E8" w:rsidRPr="005C3FE6" w:rsidRDefault="00C843E8" w:rsidP="00C843E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Alfven H., Elvius A</w:t>
      </w:r>
      <w:r w:rsidRPr="005C3FE6">
        <w:rPr>
          <w:lang w:val="en-US"/>
        </w:rPr>
        <w:t>.//</w:t>
      </w:r>
      <w:r>
        <w:rPr>
          <w:lang w:val="en-US"/>
        </w:rPr>
        <w:t>Science</w:t>
      </w:r>
      <w:r w:rsidRPr="005C3FE6">
        <w:rPr>
          <w:lang w:val="en-US"/>
        </w:rPr>
        <w:t xml:space="preserve">, 1969, </w:t>
      </w:r>
      <w:r>
        <w:rPr>
          <w:lang w:val="en-US"/>
        </w:rPr>
        <w:t>v</w:t>
      </w:r>
      <w:r w:rsidRPr="005C3FE6">
        <w:rPr>
          <w:lang w:val="en-US"/>
        </w:rPr>
        <w:t xml:space="preserve">.164, </w:t>
      </w:r>
      <w:r>
        <w:rPr>
          <w:lang w:val="en-US"/>
        </w:rPr>
        <w:t>N</w:t>
      </w:r>
      <w:r w:rsidRPr="005C3FE6">
        <w:rPr>
          <w:lang w:val="en-US"/>
        </w:rPr>
        <w:t xml:space="preserve"> 3882, </w:t>
      </w:r>
      <w:r>
        <w:rPr>
          <w:lang w:val="en-US"/>
        </w:rPr>
        <w:t>p</w:t>
      </w:r>
      <w:r w:rsidRPr="005C3FE6">
        <w:rPr>
          <w:lang w:val="en-US"/>
        </w:rPr>
        <w:t>.911.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E0" w:rsidRDefault="008B05E0">
      <w:r>
        <w:separator/>
      </w:r>
    </w:p>
  </w:endnote>
  <w:endnote w:type="continuationSeparator" w:id="0">
    <w:p w:rsidR="008B05E0" w:rsidRDefault="008B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09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09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43E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E0" w:rsidRDefault="008B05E0">
      <w:r>
        <w:separator/>
      </w:r>
    </w:p>
  </w:footnote>
  <w:footnote w:type="continuationSeparator" w:id="0">
    <w:p w:rsidR="008B05E0" w:rsidRDefault="008B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843E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0095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05E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B05E0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00959"/>
    <w:rsid w:val="00C103CD"/>
    <w:rsid w:val="00C232A0"/>
    <w:rsid w:val="00C843E8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843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oter" Target="footer2.xml"/><Relationship Id="rId7" Type="http://schemas.openxmlformats.org/officeDocument/2006/relationships/hyperlink" Target="mailto:alexandergordeev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АНАЛИТИЧЕСКОЕ ДОКАЗАТЕЛЬСТВО РАЗДЕЛЕНИЯ МАТЕРИИ И АНТИМАТЕРИИ ВО ВСЕЛЕННОЙ В РЕЗУЛЬТАТЕ ФАЗОВОГО ВЗРЫВА</dc:title>
  <dc:creator>sato</dc:creator>
  <cp:lastModifiedBy>Сатунин</cp:lastModifiedBy>
  <cp:revision>1</cp:revision>
  <cp:lastPrinted>1601-01-01T00:00:00Z</cp:lastPrinted>
  <dcterms:created xsi:type="dcterms:W3CDTF">2018-02-12T13:36:00Z</dcterms:created>
  <dcterms:modified xsi:type="dcterms:W3CDTF">2018-02-12T13:40:00Z</dcterms:modified>
</cp:coreProperties>
</file>