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CF" w:rsidRDefault="003F31CF" w:rsidP="003F31CF">
      <w:pPr>
        <w:pStyle w:val="Zv-Titlereport"/>
      </w:pPr>
      <w:r>
        <w:t>Статистические модели Радиационных потерь альфа-частиц на ионах вольфрама в термоядерной плазме</w:t>
      </w:r>
    </w:p>
    <w:p w:rsidR="003F31CF" w:rsidRDefault="003F31CF" w:rsidP="003F31CF">
      <w:pPr>
        <w:pStyle w:val="Zv-Author"/>
      </w:pPr>
      <w:r>
        <w:t>Демура А.В.</w:t>
      </w:r>
      <w:r>
        <w:rPr>
          <w:vertAlign w:val="superscript"/>
        </w:rPr>
        <w:t>1</w:t>
      </w:r>
      <w:r>
        <w:t xml:space="preserve">, </w:t>
      </w:r>
      <w:r w:rsidRPr="00334199">
        <w:rPr>
          <w:u w:val="single"/>
        </w:rPr>
        <w:t>Леонтьев Д.С.</w:t>
      </w:r>
      <w:r>
        <w:rPr>
          <w:vertAlign w:val="superscript"/>
        </w:rPr>
        <w:t>1</w:t>
      </w:r>
      <w:r>
        <w:t>, Лисица В.С.</w:t>
      </w:r>
      <w:r>
        <w:rPr>
          <w:vertAlign w:val="superscript"/>
        </w:rPr>
        <w:t>1,2</w:t>
      </w:r>
      <w:r>
        <w:t xml:space="preserve">, </w:t>
      </w:r>
      <w:r w:rsidRPr="00334199">
        <w:t>Шурыгин</w:t>
      </w:r>
      <w:r>
        <w:t xml:space="preserve"> В.А.</w:t>
      </w:r>
      <w:r>
        <w:rPr>
          <w:vertAlign w:val="superscript"/>
        </w:rPr>
        <w:t>1</w:t>
      </w:r>
    </w:p>
    <w:p w:rsidR="003F31CF" w:rsidRDefault="003F31CF" w:rsidP="003F31CF">
      <w:pPr>
        <w:pStyle w:val="Zv-Organization"/>
        <w:rPr>
          <w:u w:val="single"/>
        </w:rPr>
      </w:pPr>
      <w:r w:rsidRPr="005719BD">
        <w:rPr>
          <w:vertAlign w:val="superscript"/>
        </w:rPr>
        <w:t>1</w:t>
      </w:r>
      <w:r>
        <w:t>Национальный Исследовательский Центр  «Курчатовский институт», г. Москва,</w:t>
      </w:r>
      <w:r w:rsidRPr="003F31CF">
        <w:br/>
        <w:t xml:space="preserve">    </w:t>
      </w:r>
      <w:r>
        <w:t xml:space="preserve"> Россия</w:t>
      </w:r>
      <w:r>
        <w:br/>
      </w:r>
      <w:r w:rsidRPr="005719BD">
        <w:rPr>
          <w:vertAlign w:val="superscript"/>
        </w:rPr>
        <w:t>2</w:t>
      </w:r>
      <w:r>
        <w:t>Московский инженерно-физический институт, г. Москва, Россия</w:t>
      </w:r>
      <w:r>
        <w:br/>
      </w:r>
      <w:r w:rsidRPr="003F31CF">
        <w:t xml:space="preserve">     </w:t>
      </w:r>
      <w:hyperlink r:id="rId7" w:history="1">
        <w:r w:rsidRPr="006B37F9">
          <w:rPr>
            <w:rStyle w:val="a8"/>
            <w:lang w:val="en-US"/>
          </w:rPr>
          <w:t>leontievdmitiy</w:t>
        </w:r>
        <w:r w:rsidRPr="006B37F9">
          <w:rPr>
            <w:rStyle w:val="a8"/>
          </w:rPr>
          <w:t>@</w:t>
        </w:r>
        <w:r w:rsidRPr="006B37F9">
          <w:rPr>
            <w:rStyle w:val="a8"/>
            <w:lang w:val="en-US"/>
          </w:rPr>
          <w:t>gmail</w:t>
        </w:r>
        <w:r w:rsidRPr="006B37F9">
          <w:rPr>
            <w:rStyle w:val="a8"/>
          </w:rPr>
          <w:t>.</w:t>
        </w:r>
        <w:r w:rsidRPr="006B37F9">
          <w:rPr>
            <w:rStyle w:val="a8"/>
            <w:lang w:val="en-US"/>
          </w:rPr>
          <w:t>com</w:t>
        </w:r>
      </w:hyperlink>
    </w:p>
    <w:p w:rsidR="003F31CF" w:rsidRPr="005719BD" w:rsidRDefault="003F31CF" w:rsidP="003F31CF">
      <w:pPr>
        <w:pStyle w:val="Zv-bodyreport"/>
        <w:rPr>
          <w:szCs w:val="20"/>
        </w:rPr>
      </w:pPr>
      <w:r>
        <w:rPr>
          <w:szCs w:val="20"/>
        </w:rPr>
        <w:t>В современных термоядерных реакторах вольфрам используются в качестве материала внутренних стенок камеры.</w:t>
      </w:r>
      <w:r w:rsidRPr="003D5D4E">
        <w:rPr>
          <w:szCs w:val="20"/>
        </w:rPr>
        <w:t xml:space="preserve"> </w:t>
      </w:r>
      <w:r>
        <w:rPr>
          <w:szCs w:val="20"/>
        </w:rPr>
        <w:t>Из-за большого заряда ядра вольфрама даже при условиях в термоядерном реакторе (</w:t>
      </w:r>
      <w:r>
        <w:rPr>
          <w:i/>
          <w:szCs w:val="20"/>
          <w:lang w:val="en-US"/>
        </w:rPr>
        <w:t>T</w:t>
      </w:r>
      <w:r>
        <w:rPr>
          <w:i/>
          <w:szCs w:val="20"/>
          <w:vertAlign w:val="subscript"/>
          <w:lang w:val="en-US"/>
        </w:rPr>
        <w:t>e</w:t>
      </w:r>
      <w:r w:rsidRPr="00866431">
        <w:rPr>
          <w:szCs w:val="20"/>
        </w:rPr>
        <w:t xml:space="preserve">=20 </w:t>
      </w:r>
      <w:r>
        <w:rPr>
          <w:szCs w:val="20"/>
        </w:rPr>
        <w:t>кэВ) в ионах примеси сохраняется значительное число связанных электронов, которые могут возбуждаться не только электронами, но и альфа-частицами. Тем самым возникает новый канал радиационных потерь альфа-частиц. Для оценки радиационных потерь альфа-частиц удобно использовать статистические модели для многоэлектронных ионов вольфрама, упрощающие сложные квантовомеханические расчеты. Использованы две статистических модели: модель локальной плазменной частоты (ЛПЧ), и модель, основанную на физических принципах крамерсовской электродинамики (модель Роста).</w:t>
      </w:r>
    </w:p>
    <w:p w:rsidR="003F31CF" w:rsidRPr="005719BD" w:rsidRDefault="003F31CF" w:rsidP="003F31CF">
      <w:pPr>
        <w:pStyle w:val="Zv-bodyreport"/>
      </w:pPr>
      <w:r>
        <w:rPr>
          <w:szCs w:val="20"/>
        </w:rPr>
        <w:t>Производится сравнение двух каналов радиационных потерь от возбуждения альфа-частицами и электронами:</w:t>
      </w:r>
      <w:r w:rsidRPr="00A75AFA">
        <w:rPr>
          <w:position w:val="-12"/>
        </w:rPr>
        <w:object w:dxaOrig="11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8pt" o:ole="">
            <v:imagedata r:id="rId8" o:title=""/>
          </v:shape>
          <o:OLEObject Type="Embed" ProgID="Equation.DSMT4" ShapeID="_x0000_i1025" DrawAspect="Content" ObjectID="_1579902929" r:id="rId9"/>
        </w:object>
      </w:r>
      <w:r w:rsidRPr="00245B16">
        <w:t xml:space="preserve">, </w:t>
      </w:r>
      <w:r>
        <w:t xml:space="preserve">где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α</w:t>
      </w:r>
      <w:r w:rsidRPr="008206B2">
        <w:t xml:space="preserve"> </w:t>
      </w:r>
      <w:r>
        <w:t>и</w:t>
      </w:r>
      <w:r w:rsidRPr="008206B2">
        <w:rPr>
          <w:vertAlign w:val="subscript"/>
        </w:rPr>
        <w:t xml:space="preserve"> </w:t>
      </w:r>
      <w:r w:rsidRPr="008206B2">
        <w:rPr>
          <w:i/>
          <w:lang w:val="en-US"/>
        </w:rPr>
        <w:t>Q</w:t>
      </w:r>
      <w:r w:rsidRPr="008206B2">
        <w:rPr>
          <w:i/>
          <w:vertAlign w:val="subscript"/>
          <w:lang w:val="en-US"/>
        </w:rPr>
        <w:t>e</w:t>
      </w:r>
      <w:r w:rsidRPr="008206B2">
        <w:t xml:space="preserve"> – </w:t>
      </w:r>
      <w:r>
        <w:t>радиационные потери альфа-частиц и электронов, соответственно.</w:t>
      </w:r>
    </w:p>
    <w:p w:rsidR="003F31CF" w:rsidRDefault="003F31CF" w:rsidP="003F31CF">
      <w:pPr>
        <w:pStyle w:val="Zv-bodyreportcont"/>
        <w:ind w:firstLine="284"/>
      </w:pPr>
      <w:r>
        <w:t xml:space="preserve">Расчеты радиационных потерь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α</w:t>
      </w:r>
      <w:r>
        <w:rPr>
          <w:i/>
          <w:vertAlign w:val="subscript"/>
        </w:rPr>
        <w:t>, е</w:t>
      </w:r>
      <w:r>
        <w:t xml:space="preserve"> основаны на определении сечения возбуждения электронов в многозарядных ионах вольфрама электрическими полями плазменных электронов и альфа-частиц. Согласно статистическому подходу эти сечения выражаются через энергии переходов и силы осцилляторов, определяемые распределением электронной плотности в ионах вольфрама</w:t>
      </w:r>
      <w:r w:rsidRPr="0086430B">
        <w:t xml:space="preserve"> </w:t>
      </w:r>
      <w:r w:rsidRPr="006843C3">
        <w:t>[</w:t>
      </w:r>
      <w:r w:rsidRPr="0086430B">
        <w:t>1, 2</w:t>
      </w:r>
      <w:r w:rsidRPr="006843C3">
        <w:t>]</w:t>
      </w:r>
      <w:r>
        <w:t>.</w:t>
      </w:r>
    </w:p>
    <w:p w:rsidR="003F31CF" w:rsidRPr="0086430B" w:rsidRDefault="003F31CF" w:rsidP="003F31CF">
      <w:pPr>
        <w:pStyle w:val="Zv-bodyreport"/>
      </w:pPr>
      <w:r>
        <w:t xml:space="preserve">При больших температурах в радиационные потери электронов вносят также значительный вклад потери на тормозное и рекомбинационное излучение. В случае альфа-частиц вклад соответствующих потерь мал из-за их большой массы. В таблице представлены результаты расчетов радиационных потерь для альфа-частиц </w:t>
      </w:r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α</w:t>
      </w:r>
      <w:r>
        <w:t xml:space="preserve">, полных радиационных потерь на электронах </w:t>
      </w:r>
      <w:r w:rsidRPr="008206B2">
        <w:rPr>
          <w:i/>
          <w:lang w:val="en-US"/>
        </w:rPr>
        <w:t>Q</w:t>
      </w:r>
      <w:r w:rsidRPr="008206B2">
        <w:rPr>
          <w:i/>
          <w:vertAlign w:val="subscript"/>
          <w:lang w:val="en-US"/>
        </w:rPr>
        <w:t>e</w:t>
      </w:r>
      <w:r>
        <w:t xml:space="preserve">, а также представлено их отношение </w:t>
      </w:r>
      <w:r>
        <w:rPr>
          <w:i/>
          <w:lang w:val="en-US"/>
        </w:rPr>
        <w:t>R</w:t>
      </w:r>
      <w:r>
        <w:t xml:space="preserve">. Для сравнения с имеющимися данными в таблице приведены результаты расчетов работы </w:t>
      </w:r>
      <w:r w:rsidRPr="006843C3">
        <w:t>[</w:t>
      </w:r>
      <w:r w:rsidRPr="0086430B">
        <w:t>3</w:t>
      </w:r>
      <w:r w:rsidRPr="006843C3">
        <w:t>]</w:t>
      </w:r>
      <w:r w:rsidRPr="0086430B">
        <w:t>.</w:t>
      </w:r>
    </w:p>
    <w:tbl>
      <w:tblPr>
        <w:tblStyle w:val="a9"/>
        <w:tblW w:w="10031" w:type="dxa"/>
        <w:tblLook w:val="04A0"/>
      </w:tblPr>
      <w:tblGrid>
        <w:gridCol w:w="774"/>
        <w:gridCol w:w="1296"/>
        <w:gridCol w:w="1409"/>
        <w:gridCol w:w="1157"/>
        <w:gridCol w:w="1568"/>
        <w:gridCol w:w="1705"/>
        <w:gridCol w:w="846"/>
        <w:gridCol w:w="1276"/>
      </w:tblGrid>
      <w:tr w:rsidR="003F31CF" w:rsidTr="00F7142D">
        <w:tc>
          <w:tcPr>
            <w:tcW w:w="774" w:type="dxa"/>
          </w:tcPr>
          <w:p w:rsidR="003F31CF" w:rsidRPr="00FE481F" w:rsidRDefault="003F31CF" w:rsidP="00F7142D">
            <w:pPr>
              <w:pStyle w:val="Zv-bodyreportcont"/>
            </w:pPr>
            <w:r>
              <w:rPr>
                <w:lang w:val="en-US"/>
              </w:rPr>
              <w:t xml:space="preserve">T, </w:t>
            </w:r>
            <w:r>
              <w:t>кэВ</w:t>
            </w:r>
          </w:p>
        </w:tc>
        <w:tc>
          <w:tcPr>
            <w:tcW w:w="1296" w:type="dxa"/>
          </w:tcPr>
          <w:p w:rsidR="003F31CF" w:rsidRPr="00CE47CD" w:rsidRDefault="003F31CF" w:rsidP="00F7142D">
            <w:pPr>
              <w:pStyle w:val="Zv-bodyreportcont"/>
            </w:pPr>
            <w:r>
              <w:rPr>
                <w:lang w:val="en-US"/>
              </w:rPr>
              <w:t>Qa</w:t>
            </w:r>
            <w:r>
              <w:t>, 10</w:t>
            </w:r>
            <w:r>
              <w:rPr>
                <w:vertAlign w:val="superscript"/>
              </w:rPr>
              <w:t>-32</w:t>
            </w:r>
            <w:r>
              <w:t xml:space="preserve"> Вт*м</w:t>
            </w:r>
            <w:r>
              <w:rPr>
                <w:vertAlign w:val="superscript"/>
              </w:rPr>
              <w:t>-3</w:t>
            </w:r>
            <w:r>
              <w:t>, Рост</w:t>
            </w:r>
          </w:p>
        </w:tc>
        <w:tc>
          <w:tcPr>
            <w:tcW w:w="1409" w:type="dxa"/>
          </w:tcPr>
          <w:p w:rsidR="003F31CF" w:rsidRPr="00CE47CD" w:rsidRDefault="003F31CF" w:rsidP="00F7142D">
            <w:pPr>
              <w:pStyle w:val="Zv-bodyreportcont"/>
            </w:pPr>
            <w:r>
              <w:rPr>
                <w:lang w:val="en-US"/>
              </w:rPr>
              <w:t>Qe</w:t>
            </w:r>
            <w:r>
              <w:t>, 10</w:t>
            </w:r>
            <w:r>
              <w:rPr>
                <w:vertAlign w:val="superscript"/>
              </w:rPr>
              <w:t>-32</w:t>
            </w:r>
            <w:r>
              <w:t xml:space="preserve"> Вт*м</w:t>
            </w:r>
            <w:r>
              <w:rPr>
                <w:vertAlign w:val="superscript"/>
              </w:rPr>
              <w:t>-3</w:t>
            </w:r>
            <w:r>
              <w:t>, Рост</w:t>
            </w:r>
          </w:p>
        </w:tc>
        <w:tc>
          <w:tcPr>
            <w:tcW w:w="1157" w:type="dxa"/>
          </w:tcPr>
          <w:p w:rsidR="003F31CF" w:rsidRPr="00CE47CD" w:rsidRDefault="003F31CF" w:rsidP="00F7142D">
            <w:pPr>
              <w:pStyle w:val="Zv-bodyreportcont"/>
            </w:pPr>
            <w:r>
              <w:rPr>
                <w:lang w:val="en-US"/>
              </w:rPr>
              <w:t>R</w:t>
            </w:r>
            <w:r>
              <w:t>, Рост</w:t>
            </w:r>
          </w:p>
        </w:tc>
        <w:tc>
          <w:tcPr>
            <w:tcW w:w="1568" w:type="dxa"/>
          </w:tcPr>
          <w:p w:rsidR="003F31CF" w:rsidRDefault="003F31CF" w:rsidP="00F7142D">
            <w:pPr>
              <w:pStyle w:val="Zv-bodyreportcont"/>
              <w:rPr>
                <w:lang w:val="en-US"/>
              </w:rPr>
            </w:pPr>
            <w:r>
              <w:rPr>
                <w:lang w:val="en-US"/>
              </w:rPr>
              <w:t>Qa</w:t>
            </w:r>
            <w:r>
              <w:t>, 10</w:t>
            </w:r>
            <w:r>
              <w:rPr>
                <w:vertAlign w:val="superscript"/>
              </w:rPr>
              <w:t>-32</w:t>
            </w:r>
            <w:r>
              <w:t xml:space="preserve"> Вт*м</w:t>
            </w:r>
            <w:r>
              <w:rPr>
                <w:vertAlign w:val="superscript"/>
              </w:rPr>
              <w:t>-3</w:t>
            </w:r>
            <w:r>
              <w:t>, ЛПЧ</w:t>
            </w:r>
          </w:p>
        </w:tc>
        <w:tc>
          <w:tcPr>
            <w:tcW w:w="1705" w:type="dxa"/>
          </w:tcPr>
          <w:p w:rsidR="003F31CF" w:rsidRDefault="003F31CF" w:rsidP="00F7142D">
            <w:pPr>
              <w:pStyle w:val="Zv-bodyreportcont"/>
              <w:rPr>
                <w:lang w:val="en-US"/>
              </w:rPr>
            </w:pPr>
            <w:r>
              <w:rPr>
                <w:lang w:val="en-US"/>
              </w:rPr>
              <w:t>Qe</w:t>
            </w:r>
            <w:r>
              <w:t>, 10</w:t>
            </w:r>
            <w:r>
              <w:rPr>
                <w:vertAlign w:val="superscript"/>
              </w:rPr>
              <w:t>-32</w:t>
            </w:r>
            <w:r>
              <w:t xml:space="preserve"> Вт*м</w:t>
            </w:r>
            <w:r>
              <w:rPr>
                <w:vertAlign w:val="superscript"/>
              </w:rPr>
              <w:t>-3</w:t>
            </w:r>
            <w:r>
              <w:t>, ЛПЧ</w:t>
            </w:r>
          </w:p>
        </w:tc>
        <w:tc>
          <w:tcPr>
            <w:tcW w:w="846" w:type="dxa"/>
          </w:tcPr>
          <w:p w:rsidR="003F31CF" w:rsidRPr="00CE47CD" w:rsidRDefault="003F31CF" w:rsidP="00F7142D">
            <w:pPr>
              <w:pStyle w:val="Zv-bodyreportcont"/>
            </w:pPr>
            <w:r>
              <w:rPr>
                <w:lang w:val="en-US"/>
              </w:rPr>
              <w:t>R</w:t>
            </w:r>
            <w:r>
              <w:t>, ЛПЧ</w:t>
            </w:r>
          </w:p>
        </w:tc>
        <w:tc>
          <w:tcPr>
            <w:tcW w:w="1276" w:type="dxa"/>
          </w:tcPr>
          <w:p w:rsidR="003F31CF" w:rsidRPr="00EC0717" w:rsidRDefault="003F31CF" w:rsidP="00F7142D">
            <w:pPr>
              <w:pStyle w:val="Zv-bodyreportcont"/>
            </w:pPr>
            <w:r>
              <w:rPr>
                <w:lang w:val="en-US"/>
              </w:rPr>
              <w:t xml:space="preserve">Qe, </w:t>
            </w:r>
            <w:r>
              <w:t>10</w:t>
            </w:r>
            <w:r>
              <w:rPr>
                <w:vertAlign w:val="superscript"/>
              </w:rPr>
              <w:t>-32</w:t>
            </w:r>
            <w:r>
              <w:t xml:space="preserve"> Вт*м</w:t>
            </w:r>
            <w:r>
              <w:rPr>
                <w:vertAlign w:val="superscript"/>
              </w:rPr>
              <w:t>-3</w:t>
            </w:r>
            <w:r>
              <w:rPr>
                <w:lang w:val="en-US"/>
              </w:rPr>
              <w:t xml:space="preserve">, </w:t>
            </w:r>
            <w:r>
              <w:t xml:space="preserve">из </w:t>
            </w:r>
            <w:r>
              <w:rPr>
                <w:lang w:val="en-US"/>
              </w:rPr>
              <w:t>[3]</w:t>
            </w:r>
          </w:p>
        </w:tc>
      </w:tr>
      <w:tr w:rsidR="003F31CF" w:rsidTr="00F7142D">
        <w:tc>
          <w:tcPr>
            <w:tcW w:w="774" w:type="dxa"/>
          </w:tcPr>
          <w:p w:rsidR="003F31CF" w:rsidRDefault="003F31CF" w:rsidP="00F7142D">
            <w:pPr>
              <w:pStyle w:val="Zv-bodyreportcon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96" w:type="dxa"/>
          </w:tcPr>
          <w:p w:rsidR="003F31CF" w:rsidRPr="00582A2F" w:rsidRDefault="003F31CF" w:rsidP="00F7142D">
            <w:pPr>
              <w:pStyle w:val="Zv-bodyreportcont"/>
            </w:pPr>
            <w:r>
              <w:t>4.11</w:t>
            </w:r>
          </w:p>
        </w:tc>
        <w:tc>
          <w:tcPr>
            <w:tcW w:w="1409" w:type="dxa"/>
          </w:tcPr>
          <w:p w:rsidR="003F31CF" w:rsidRPr="00582A2F" w:rsidRDefault="003F31CF" w:rsidP="00F7142D">
            <w:pPr>
              <w:pStyle w:val="Zv-bodyreportcont"/>
            </w:pPr>
            <w:r>
              <w:t>6.61</w:t>
            </w:r>
          </w:p>
        </w:tc>
        <w:tc>
          <w:tcPr>
            <w:tcW w:w="1157" w:type="dxa"/>
          </w:tcPr>
          <w:p w:rsidR="003F31CF" w:rsidRPr="00582A2F" w:rsidRDefault="003F31CF" w:rsidP="00F7142D">
            <w:pPr>
              <w:pStyle w:val="Zv-bodyreportcont"/>
            </w:pPr>
            <w:r>
              <w:t>0.62</w:t>
            </w:r>
          </w:p>
        </w:tc>
        <w:tc>
          <w:tcPr>
            <w:tcW w:w="1568" w:type="dxa"/>
          </w:tcPr>
          <w:p w:rsidR="003F31CF" w:rsidRDefault="003F31CF" w:rsidP="00F7142D">
            <w:pPr>
              <w:pStyle w:val="Zv-bodyreportcont"/>
            </w:pPr>
            <w:r>
              <w:t>1.17</w:t>
            </w:r>
          </w:p>
        </w:tc>
        <w:tc>
          <w:tcPr>
            <w:tcW w:w="1705" w:type="dxa"/>
          </w:tcPr>
          <w:p w:rsidR="003F31CF" w:rsidRDefault="003F31CF" w:rsidP="00F7142D">
            <w:pPr>
              <w:pStyle w:val="Zv-bodyreportcont"/>
            </w:pPr>
            <w:r>
              <w:t>7.63</w:t>
            </w:r>
          </w:p>
        </w:tc>
        <w:tc>
          <w:tcPr>
            <w:tcW w:w="846" w:type="dxa"/>
          </w:tcPr>
          <w:p w:rsidR="003F31CF" w:rsidRDefault="003F31CF" w:rsidP="00F7142D">
            <w:pPr>
              <w:pStyle w:val="Zv-bodyreportcont"/>
            </w:pPr>
            <w:r>
              <w:t>1.53</w:t>
            </w:r>
          </w:p>
        </w:tc>
        <w:tc>
          <w:tcPr>
            <w:tcW w:w="1276" w:type="dxa"/>
          </w:tcPr>
          <w:p w:rsidR="003F31CF" w:rsidRDefault="003F31CF" w:rsidP="00F7142D">
            <w:pPr>
              <w:pStyle w:val="Zv-bodyreportcont"/>
            </w:pPr>
            <w:r>
              <w:t>7.30</w:t>
            </w:r>
          </w:p>
        </w:tc>
      </w:tr>
      <w:tr w:rsidR="003F31CF" w:rsidTr="00F7142D">
        <w:tc>
          <w:tcPr>
            <w:tcW w:w="774" w:type="dxa"/>
          </w:tcPr>
          <w:p w:rsidR="003F31CF" w:rsidRDefault="003F31CF" w:rsidP="00F7142D">
            <w:pPr>
              <w:pStyle w:val="Zv-bodyreportcon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96" w:type="dxa"/>
          </w:tcPr>
          <w:p w:rsidR="003F31CF" w:rsidRPr="00582A2F" w:rsidRDefault="003F31CF" w:rsidP="00F7142D">
            <w:pPr>
              <w:pStyle w:val="Zv-bodyreportcont"/>
            </w:pPr>
            <w:r>
              <w:t>7.51</w:t>
            </w:r>
          </w:p>
        </w:tc>
        <w:tc>
          <w:tcPr>
            <w:tcW w:w="1409" w:type="dxa"/>
          </w:tcPr>
          <w:p w:rsidR="003F31CF" w:rsidRPr="00582A2F" w:rsidRDefault="003F31CF" w:rsidP="00F7142D">
            <w:pPr>
              <w:pStyle w:val="Zv-bodyreportcont"/>
            </w:pPr>
            <w:r>
              <w:t>5.44</w:t>
            </w:r>
          </w:p>
        </w:tc>
        <w:tc>
          <w:tcPr>
            <w:tcW w:w="1157" w:type="dxa"/>
          </w:tcPr>
          <w:p w:rsidR="003F31CF" w:rsidRPr="00582A2F" w:rsidRDefault="003F31CF" w:rsidP="00F7142D">
            <w:pPr>
              <w:pStyle w:val="Zv-bodyreportcont"/>
            </w:pPr>
            <w:r>
              <w:t>1.38</w:t>
            </w:r>
          </w:p>
        </w:tc>
        <w:tc>
          <w:tcPr>
            <w:tcW w:w="1568" w:type="dxa"/>
          </w:tcPr>
          <w:p w:rsidR="003F31CF" w:rsidRDefault="003F31CF" w:rsidP="00F7142D">
            <w:pPr>
              <w:pStyle w:val="Zv-bodyreportcont"/>
            </w:pPr>
            <w:r>
              <w:t>1.75</w:t>
            </w:r>
          </w:p>
        </w:tc>
        <w:tc>
          <w:tcPr>
            <w:tcW w:w="1705" w:type="dxa"/>
          </w:tcPr>
          <w:p w:rsidR="003F31CF" w:rsidRDefault="003F31CF" w:rsidP="00F7142D">
            <w:pPr>
              <w:pStyle w:val="Zv-bodyreportcont"/>
            </w:pPr>
            <w:r>
              <w:t>5.99</w:t>
            </w:r>
          </w:p>
        </w:tc>
        <w:tc>
          <w:tcPr>
            <w:tcW w:w="846" w:type="dxa"/>
          </w:tcPr>
          <w:p w:rsidR="003F31CF" w:rsidRDefault="003F31CF" w:rsidP="00F7142D">
            <w:pPr>
              <w:pStyle w:val="Zv-bodyreportcont"/>
            </w:pPr>
            <w:r>
              <w:t>2.92</w:t>
            </w:r>
          </w:p>
        </w:tc>
        <w:tc>
          <w:tcPr>
            <w:tcW w:w="1276" w:type="dxa"/>
          </w:tcPr>
          <w:p w:rsidR="003F31CF" w:rsidRDefault="003F31CF" w:rsidP="00F7142D">
            <w:pPr>
              <w:pStyle w:val="Zv-bodyreportcont"/>
            </w:pPr>
            <w:r>
              <w:t>5.47</w:t>
            </w:r>
          </w:p>
        </w:tc>
      </w:tr>
      <w:tr w:rsidR="003F31CF" w:rsidTr="00F7142D">
        <w:tc>
          <w:tcPr>
            <w:tcW w:w="774" w:type="dxa"/>
          </w:tcPr>
          <w:p w:rsidR="003F31CF" w:rsidRDefault="003F31CF" w:rsidP="00F7142D">
            <w:pPr>
              <w:pStyle w:val="Zv-bodyreportcon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96" w:type="dxa"/>
          </w:tcPr>
          <w:p w:rsidR="003F31CF" w:rsidRPr="00582A2F" w:rsidRDefault="003F31CF" w:rsidP="00F7142D">
            <w:pPr>
              <w:pStyle w:val="Zv-bodyreportcont"/>
            </w:pPr>
            <w:r>
              <w:t>5.58</w:t>
            </w:r>
          </w:p>
        </w:tc>
        <w:tc>
          <w:tcPr>
            <w:tcW w:w="1409" w:type="dxa"/>
          </w:tcPr>
          <w:p w:rsidR="003F31CF" w:rsidRPr="00582A2F" w:rsidRDefault="003F31CF" w:rsidP="00F7142D">
            <w:pPr>
              <w:pStyle w:val="Zv-bodyreportcont"/>
            </w:pPr>
            <w:r>
              <w:t>3.76</w:t>
            </w:r>
          </w:p>
        </w:tc>
        <w:tc>
          <w:tcPr>
            <w:tcW w:w="1157" w:type="dxa"/>
          </w:tcPr>
          <w:p w:rsidR="003F31CF" w:rsidRPr="00582A2F" w:rsidRDefault="003F31CF" w:rsidP="00F7142D">
            <w:pPr>
              <w:pStyle w:val="Zv-bodyreportcont"/>
            </w:pPr>
            <w:r>
              <w:t>1.48</w:t>
            </w:r>
          </w:p>
        </w:tc>
        <w:tc>
          <w:tcPr>
            <w:tcW w:w="1568" w:type="dxa"/>
          </w:tcPr>
          <w:p w:rsidR="003F31CF" w:rsidRDefault="003F31CF" w:rsidP="00F7142D">
            <w:pPr>
              <w:pStyle w:val="Zv-bodyreportcont"/>
            </w:pPr>
            <w:r>
              <w:t>1.93</w:t>
            </w:r>
          </w:p>
        </w:tc>
        <w:tc>
          <w:tcPr>
            <w:tcW w:w="1705" w:type="dxa"/>
          </w:tcPr>
          <w:p w:rsidR="003F31CF" w:rsidRDefault="003F31CF" w:rsidP="00F7142D">
            <w:pPr>
              <w:pStyle w:val="Zv-bodyreportcont"/>
            </w:pPr>
            <w:r>
              <w:t>5.18</w:t>
            </w:r>
          </w:p>
        </w:tc>
        <w:tc>
          <w:tcPr>
            <w:tcW w:w="846" w:type="dxa"/>
          </w:tcPr>
          <w:p w:rsidR="003F31CF" w:rsidRDefault="003F31CF" w:rsidP="00F7142D">
            <w:pPr>
              <w:pStyle w:val="Zv-bodyreportcont"/>
            </w:pPr>
            <w:r>
              <w:t>3.72</w:t>
            </w:r>
          </w:p>
        </w:tc>
        <w:tc>
          <w:tcPr>
            <w:tcW w:w="1276" w:type="dxa"/>
          </w:tcPr>
          <w:p w:rsidR="003F31CF" w:rsidRDefault="003F31CF" w:rsidP="00F7142D">
            <w:pPr>
              <w:pStyle w:val="Zv-bodyreportcont"/>
            </w:pPr>
            <w:r>
              <w:t>4.95</w:t>
            </w:r>
          </w:p>
        </w:tc>
      </w:tr>
    </w:tbl>
    <w:p w:rsidR="003F31CF" w:rsidRDefault="003F31CF" w:rsidP="003F31CF">
      <w:pPr>
        <w:pStyle w:val="Zv-bodyreportcont"/>
        <w:ind w:firstLine="284"/>
      </w:pPr>
      <w:r>
        <w:t>Из таблицы следует, что при больших температурах, которые соответствуют условиям термоядерного реактора, радиационные потери альфа-частиц сравнимы и даже могут превосходить радиационные потери на электронах.</w:t>
      </w:r>
    </w:p>
    <w:p w:rsidR="003F31CF" w:rsidRDefault="003F31CF" w:rsidP="003F31CF">
      <w:pPr>
        <w:pStyle w:val="Zv-TitleReferences-ru"/>
      </w:pPr>
      <w:r>
        <w:t>Литература.</w:t>
      </w:r>
    </w:p>
    <w:p w:rsidR="003F31CF" w:rsidRDefault="003F31CF" w:rsidP="003F31CF">
      <w:pPr>
        <w:pStyle w:val="Zv-References-ru"/>
        <w:numPr>
          <w:ilvl w:val="0"/>
          <w:numId w:val="1"/>
        </w:numPr>
        <w:rPr>
          <w:lang w:val="en-US"/>
        </w:rPr>
      </w:pPr>
      <w:r w:rsidRPr="004A685E">
        <w:rPr>
          <w:lang w:val="en-US"/>
        </w:rPr>
        <w:t xml:space="preserve">A.V. Demura, </w:t>
      </w:r>
      <w:r w:rsidRPr="004A685E">
        <w:rPr>
          <w:lang w:val="es-ES"/>
        </w:rPr>
        <w:t xml:space="preserve">M.B. Kadomtsev, V.S. Lisitsa, V.A. Shurygin, </w:t>
      </w:r>
      <w:r w:rsidRPr="004A685E">
        <w:rPr>
          <w:bCs/>
          <w:i/>
          <w:lang w:val="en-US"/>
        </w:rPr>
        <w:t>High Energy Density Physic</w:t>
      </w:r>
      <w:r w:rsidRPr="004A685E">
        <w:rPr>
          <w:bCs/>
          <w:lang w:val="en-US"/>
        </w:rPr>
        <w:t xml:space="preserve">s </w:t>
      </w:r>
      <w:r w:rsidRPr="00B63FB9">
        <w:rPr>
          <w:b/>
          <w:bCs/>
          <w:lang w:val="en-US"/>
        </w:rPr>
        <w:t>15</w:t>
      </w:r>
      <w:r w:rsidRPr="004A685E">
        <w:rPr>
          <w:bCs/>
          <w:lang w:val="en-US"/>
        </w:rPr>
        <w:t>, 49 (2015)</w:t>
      </w:r>
    </w:p>
    <w:p w:rsidR="003F31CF" w:rsidRDefault="003F31CF" w:rsidP="003F31CF">
      <w:pPr>
        <w:pStyle w:val="Zv-References-ru"/>
        <w:numPr>
          <w:ilvl w:val="0"/>
          <w:numId w:val="1"/>
        </w:numPr>
        <w:rPr>
          <w:lang w:val="en-US"/>
        </w:rPr>
      </w:pPr>
      <w:r w:rsidRPr="004A685E">
        <w:rPr>
          <w:lang w:val="en-US"/>
        </w:rPr>
        <w:t>Демура А.В., Леонтьев Д.С., Лисица В.С., Шурыгин В.А.</w:t>
      </w:r>
      <w:r>
        <w:rPr>
          <w:lang w:val="en-US"/>
        </w:rPr>
        <w:t>,</w:t>
      </w:r>
      <w:r w:rsidRPr="00B63FB9">
        <w:rPr>
          <w:lang w:val="en-US"/>
        </w:rPr>
        <w:t xml:space="preserve"> </w:t>
      </w:r>
      <w:r>
        <w:rPr>
          <w:i/>
        </w:rPr>
        <w:t>ЖЭТФ</w:t>
      </w:r>
      <w:r w:rsidRPr="00B63FB9">
        <w:rPr>
          <w:lang w:val="en-US"/>
        </w:rPr>
        <w:t xml:space="preserve"> </w:t>
      </w:r>
      <w:r w:rsidRPr="00B63FB9">
        <w:rPr>
          <w:b/>
          <w:lang w:val="en-US"/>
        </w:rPr>
        <w:t>152</w:t>
      </w:r>
      <w:r w:rsidRPr="00B63FB9">
        <w:rPr>
          <w:lang w:val="en-US"/>
        </w:rPr>
        <w:t>, 792 (2017)</w:t>
      </w:r>
    </w:p>
    <w:p w:rsidR="003F31CF" w:rsidRPr="00A35521" w:rsidRDefault="003F31CF" w:rsidP="003F31CF">
      <w:pPr>
        <w:pStyle w:val="Zv-References-ru"/>
        <w:numPr>
          <w:ilvl w:val="0"/>
          <w:numId w:val="1"/>
        </w:numPr>
        <w:rPr>
          <w:lang w:val="en-US"/>
        </w:rPr>
      </w:pPr>
      <w:r w:rsidRPr="004A685E">
        <w:rPr>
          <w:lang w:val="en-US"/>
        </w:rPr>
        <w:t>T. Putterich, R. Neu, R. Dux, A. D. Whiteford, M.G. O’Mullane, and H. P. Summers</w:t>
      </w:r>
      <w:r w:rsidRPr="004A685E">
        <w:rPr>
          <w:i/>
          <w:lang w:val="en-US"/>
        </w:rPr>
        <w:t xml:space="preserve">, Nucl. </w:t>
      </w:r>
      <w:r w:rsidRPr="004A685E">
        <w:rPr>
          <w:i/>
          <w:lang w:val="fr-FR"/>
        </w:rPr>
        <w:t xml:space="preserve">Fusion </w:t>
      </w:r>
      <w:r w:rsidRPr="004A685E">
        <w:rPr>
          <w:b/>
          <w:lang w:val="fr-FR"/>
        </w:rPr>
        <w:t>50</w:t>
      </w:r>
      <w:r w:rsidRPr="004A685E">
        <w:rPr>
          <w:lang w:val="fr-FR"/>
        </w:rPr>
        <w:t>, 025012 (2010).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38" w:rsidRDefault="004F2038">
      <w:r>
        <w:separator/>
      </w:r>
    </w:p>
  </w:endnote>
  <w:endnote w:type="continuationSeparator" w:id="0">
    <w:p w:rsidR="004F2038" w:rsidRDefault="004F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53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532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31C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38" w:rsidRDefault="004F2038">
      <w:r>
        <w:separator/>
      </w:r>
    </w:p>
  </w:footnote>
  <w:footnote w:type="continuationSeparator" w:id="0">
    <w:p w:rsidR="004F2038" w:rsidRDefault="004F2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F31CF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3532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203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F31CF"/>
    <w:rsid w:val="00401388"/>
    <w:rsid w:val="00446025"/>
    <w:rsid w:val="00455FA8"/>
    <w:rsid w:val="004A374B"/>
    <w:rsid w:val="004A77D1"/>
    <w:rsid w:val="004B72AA"/>
    <w:rsid w:val="004E4543"/>
    <w:rsid w:val="004F2038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35321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1C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F31CF"/>
    <w:rPr>
      <w:color w:val="0000FF" w:themeColor="hyperlink"/>
      <w:u w:val="single"/>
    </w:rPr>
  </w:style>
  <w:style w:type="table" w:styleId="a9">
    <w:name w:val="Table Grid"/>
    <w:basedOn w:val="a1"/>
    <w:rsid w:val="003F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eontievdmitiy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МОДЕЛИ РАДИАЦИОННЫХ ПОТЕРЬ АЛЬФА-ЧАСТИЦ НА ИОНАХ ВОЛЬФРАМА В ТЕРМОЯДЕРНОЙ ПЛАЗМЕ</dc:title>
  <dc:creator>sato</dc:creator>
  <cp:lastModifiedBy>Сатунин</cp:lastModifiedBy>
  <cp:revision>1</cp:revision>
  <cp:lastPrinted>1601-01-01T00:00:00Z</cp:lastPrinted>
  <dcterms:created xsi:type="dcterms:W3CDTF">2018-02-11T22:06:00Z</dcterms:created>
  <dcterms:modified xsi:type="dcterms:W3CDTF">2018-02-11T22:08:00Z</dcterms:modified>
</cp:coreProperties>
</file>