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78" w:rsidRDefault="00442478" w:rsidP="00442478">
      <w:pPr>
        <w:pStyle w:val="Zv-Titlereport"/>
        <w:rPr>
          <w:u w:val="single"/>
        </w:rPr>
      </w:pPr>
      <w:r w:rsidRPr="002E33E0">
        <w:t>Метод расчета температурного поля газа</w:t>
      </w:r>
      <w:r>
        <w:t>,</w:t>
      </w:r>
      <w:r w:rsidRPr="002E33E0">
        <w:t xml:space="preserve"> движущегося</w:t>
      </w:r>
      <w:r>
        <w:t xml:space="preserve"> в цилиндрическом канале</w:t>
      </w:r>
      <w:r w:rsidRPr="002E33E0">
        <w:t xml:space="preserve"> при наличии кусочно-постоянного распределенного </w:t>
      </w:r>
      <w:r>
        <w:t xml:space="preserve">по осевой координате </w:t>
      </w:r>
      <w:r w:rsidRPr="002E33E0">
        <w:t>внутреннего источника тепла</w:t>
      </w:r>
    </w:p>
    <w:p w:rsidR="00442478" w:rsidRPr="00126C80" w:rsidRDefault="00442478" w:rsidP="00442478">
      <w:pPr>
        <w:pStyle w:val="Zv-Author"/>
      </w:pPr>
      <w:r w:rsidRPr="00E62C98">
        <w:rPr>
          <w:u w:val="single"/>
        </w:rPr>
        <w:t>Герасимов</w:t>
      </w:r>
      <w:r w:rsidRPr="00001660">
        <w:rPr>
          <w:u w:val="single"/>
        </w:rPr>
        <w:t xml:space="preserve"> </w:t>
      </w:r>
      <w:r w:rsidRPr="00E62C98">
        <w:rPr>
          <w:u w:val="single"/>
        </w:rPr>
        <w:t>А.В.</w:t>
      </w:r>
      <w:r>
        <w:t xml:space="preserve">, </w:t>
      </w:r>
      <w:r w:rsidRPr="007D0BD4">
        <w:t>Кирпичников</w:t>
      </w:r>
      <w:r w:rsidRPr="00001660">
        <w:t xml:space="preserve"> </w:t>
      </w:r>
      <w:r w:rsidRPr="007D0BD4">
        <w:t>А.П.</w:t>
      </w:r>
      <w:r>
        <w:t>, Рачевский</w:t>
      </w:r>
      <w:r w:rsidRPr="00001660">
        <w:t xml:space="preserve"> </w:t>
      </w:r>
      <w:r>
        <w:t>Л.А., Сабирова</w:t>
      </w:r>
      <w:r w:rsidRPr="00001660">
        <w:t xml:space="preserve"> </w:t>
      </w:r>
      <w:r>
        <w:t>Ф.Р.</w:t>
      </w:r>
    </w:p>
    <w:p w:rsidR="00442478" w:rsidRPr="00442478" w:rsidRDefault="00442478" w:rsidP="00442478">
      <w:pPr>
        <w:pStyle w:val="Zv-Organization"/>
      </w:pPr>
      <w:r>
        <w:t>Казанский национальный исследовательский технологический университет</w:t>
      </w:r>
      <w:r w:rsidRPr="00E62C98">
        <w:t xml:space="preserve">, </w:t>
      </w:r>
      <w:r>
        <w:t xml:space="preserve">Казань, Россия, </w:t>
      </w:r>
      <w:hyperlink r:id="rId7" w:history="1">
        <w:r w:rsidRPr="00B43B42">
          <w:rPr>
            <w:rStyle w:val="a8"/>
            <w:lang w:val="en-US"/>
          </w:rPr>
          <w:t>gerasimov</w:t>
        </w:r>
        <w:r w:rsidRPr="00B43B42">
          <w:rPr>
            <w:rStyle w:val="a8"/>
          </w:rPr>
          <w:t>@</w:t>
        </w:r>
        <w:r w:rsidRPr="00B43B42">
          <w:rPr>
            <w:rStyle w:val="a8"/>
            <w:lang w:val="en-US"/>
          </w:rPr>
          <w:t>kstu</w:t>
        </w:r>
        <w:r w:rsidRPr="00B43B42">
          <w:rPr>
            <w:rStyle w:val="a8"/>
          </w:rPr>
          <w:t>.</w:t>
        </w:r>
        <w:r w:rsidRPr="00B43B42">
          <w:rPr>
            <w:rStyle w:val="a8"/>
            <w:lang w:val="en-US"/>
          </w:rPr>
          <w:t>ru</w:t>
        </w:r>
      </w:hyperlink>
    </w:p>
    <w:p w:rsidR="00442478" w:rsidRDefault="00442478" w:rsidP="00442478">
      <w:pPr>
        <w:pStyle w:val="Zv-bodyreport"/>
      </w:pPr>
      <w:r>
        <w:t>Расчет температурного поля движущегося газа с внутренним источником тепла обобщается на случай кусочно-постоянного распределения источников тепла. Осесимметричное распределение в зоне внутреннего тепловыделения аппроксимируется набором сегментов различной длины по осевой координате, в каждом из которых плотность мощности полагается постоянной, а радиальная функция источника - специфической только для этого сегмента.</w:t>
      </w:r>
    </w:p>
    <w:p w:rsidR="00442478" w:rsidRPr="000A7843" w:rsidRDefault="00442478" w:rsidP="00442478">
      <w:pPr>
        <w:pStyle w:val="Zv-bodyreport"/>
      </w:pPr>
      <w:r>
        <w:t xml:space="preserve">Осесимметричное распределение внутренних источников тепла в канале описывается функцией </w:t>
      </w:r>
      <w:r w:rsidRPr="0033133B">
        <w:rPr>
          <w:position w:val="-4"/>
        </w:rPr>
        <w:object w:dxaOrig="6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5.75pt" o:ole="" filled="t">
            <v:fill color2="black"/>
            <v:imagedata r:id="rId8" o:title=""/>
          </v:shape>
          <o:OLEObject Type="Embed" ProgID="Equation.3" ShapeID="_x0000_i1025" DrawAspect="Content" ObjectID="_1579887588" r:id="rId9"/>
        </w:object>
      </w:r>
      <w:r>
        <w:t>:</w:t>
      </w:r>
    </w:p>
    <w:p w:rsidR="00442478" w:rsidRPr="000A7843" w:rsidRDefault="00442478" w:rsidP="00442478">
      <w:pPr>
        <w:pStyle w:val="Zv-bodyreport"/>
        <w:jc w:val="center"/>
      </w:pPr>
      <w:r w:rsidRPr="004F5275">
        <w:rPr>
          <w:position w:val="-48"/>
        </w:rPr>
        <w:object w:dxaOrig="3560" w:dyaOrig="1080">
          <v:shape id="_x0000_i1026" type="#_x0000_t75" style="width:177.75pt;height:54pt" o:ole="" filled="t">
            <v:fill color2="black"/>
            <v:imagedata r:id="rId10" o:title=""/>
          </v:shape>
          <o:OLEObject Type="Embed" ProgID="Equation.3" ShapeID="_x0000_i1026" DrawAspect="Content" ObjectID="_1579887589" r:id="rId11"/>
        </w:object>
      </w:r>
    </w:p>
    <w:p w:rsidR="00442478" w:rsidRDefault="00442478" w:rsidP="00442478">
      <w:pPr>
        <w:pStyle w:val="Zv-bodyreport"/>
      </w:pPr>
      <w:r>
        <w:t>Процесс конвективного теплообмена в рассматриваемой системе описывается дифференциальными уравнениями</w:t>
      </w:r>
    </w:p>
    <w:p w:rsidR="00442478" w:rsidRDefault="00442478" w:rsidP="00442478">
      <w:pPr>
        <w:pStyle w:val="Zv-bodyreport"/>
        <w:jc w:val="center"/>
        <w:rPr>
          <w:lang w:val="en-US"/>
        </w:rPr>
      </w:pPr>
      <w:r w:rsidRPr="0033133B">
        <w:rPr>
          <w:position w:val="-23"/>
        </w:rPr>
        <w:object w:dxaOrig="2640" w:dyaOrig="700">
          <v:shape id="_x0000_i1027" type="#_x0000_t75" style="width:132pt;height:35.25pt" o:ole="" filled="t">
            <v:fill color2="black"/>
            <v:imagedata r:id="rId12" o:title=""/>
          </v:shape>
          <o:OLEObject Type="Embed" ProgID="Equation.3" ShapeID="_x0000_i1027" DrawAspect="Content" ObjectID="_1579887590" r:id="rId13"/>
        </w:object>
      </w:r>
      <w:r>
        <w:t xml:space="preserve">; </w:t>
      </w:r>
      <w:r w:rsidRPr="0033133B">
        <w:rPr>
          <w:position w:val="-19"/>
        </w:rPr>
        <w:object w:dxaOrig="1400" w:dyaOrig="620">
          <v:shape id="_x0000_i1028" type="#_x0000_t75" style="width:69.75pt;height:30.75pt" o:ole="" filled="t">
            <v:fill color2="black"/>
            <v:imagedata r:id="rId14" o:title=""/>
          </v:shape>
          <o:OLEObject Type="Embed" ProgID="Equation.3" ShapeID="_x0000_i1028" DrawAspect="Content" ObjectID="_1579887591" r:id="rId15"/>
        </w:object>
      </w:r>
      <w:r>
        <w:t>;</w:t>
      </w:r>
    </w:p>
    <w:p w:rsidR="00442478" w:rsidRDefault="00442478" w:rsidP="00442478">
      <w:pPr>
        <w:pStyle w:val="Zv-bodyreport"/>
        <w:jc w:val="center"/>
      </w:pPr>
      <w:r w:rsidRPr="00F25F41">
        <w:rPr>
          <w:position w:val="-28"/>
        </w:rPr>
        <w:object w:dxaOrig="4060" w:dyaOrig="740">
          <v:shape id="_x0000_i1029" type="#_x0000_t75" style="width:203.25pt;height:36.75pt" o:ole="" filled="t">
            <v:fill color2="black"/>
            <v:imagedata r:id="rId16" o:title=""/>
          </v:shape>
          <o:OLEObject Type="Embed" ProgID="Equation.3" ShapeID="_x0000_i1029" DrawAspect="Content" ObjectID="_1579887592" r:id="rId17"/>
        </w:object>
      </w:r>
      <w:r w:rsidRPr="00F25F41">
        <w:rPr>
          <w:position w:val="-24"/>
        </w:rPr>
        <w:object w:dxaOrig="1020" w:dyaOrig="620">
          <v:shape id="_x0000_i1030" type="#_x0000_t75" style="width:51pt;height:30.75pt" o:ole="" filled="t">
            <v:fill color2="black"/>
            <v:imagedata r:id="rId18" o:title=""/>
          </v:shape>
          <o:OLEObject Type="Embed" ProgID="Equation.3" ShapeID="_x0000_i1030" DrawAspect="Content" ObjectID="_1579887593" r:id="rId19"/>
        </w:object>
      </w:r>
    </w:p>
    <w:p w:rsidR="00442478" w:rsidRDefault="00442478" w:rsidP="00442478">
      <w:pPr>
        <w:pStyle w:val="Zv-bodyreport"/>
      </w:pPr>
      <w:r>
        <w:t xml:space="preserve">Таким образом, газ последовательно проходит </w:t>
      </w:r>
      <w:r>
        <w:rPr>
          <w:i/>
          <w:iCs/>
          <w:lang w:val="en-US"/>
        </w:rPr>
        <w:t>N</w:t>
      </w:r>
      <w:r w:rsidRPr="000A7843">
        <w:rPr>
          <w:i/>
          <w:iCs/>
        </w:rPr>
        <w:t>+2</w:t>
      </w:r>
      <w:r w:rsidRPr="000A7843">
        <w:t xml:space="preserve"> зоны: входную </w:t>
      </w:r>
      <w:r>
        <w:rPr>
          <w:lang w:val="en-US"/>
        </w:rPr>
        <w:t>z</w:t>
      </w:r>
      <w:r w:rsidRPr="000A7843">
        <w:t xml:space="preserve">&lt;0, выходную </w:t>
      </w:r>
      <w:r w:rsidRPr="0033133B">
        <w:rPr>
          <w:position w:val="-1"/>
        </w:rPr>
        <w:object w:dxaOrig="499" w:dyaOrig="260">
          <v:shape id="_x0000_i1031" type="#_x0000_t75" style="width:24.75pt;height:12.75pt" o:ole="" filled="t">
            <v:fill color2="black"/>
            <v:imagedata r:id="rId20" o:title=""/>
          </v:shape>
          <o:OLEObject Type="Embed" ProgID="Equation.3" ShapeID="_x0000_i1031" DrawAspect="Content" ObjectID="_1579887594" r:id="rId21"/>
        </w:object>
      </w:r>
      <w:r w:rsidRPr="000A7843">
        <w:t xml:space="preserve"> и зону внутреннего тепловыделения </w:t>
      </w:r>
      <w:r w:rsidRPr="0033133B">
        <w:rPr>
          <w:position w:val="-1"/>
        </w:rPr>
        <w:object w:dxaOrig="859" w:dyaOrig="279">
          <v:shape id="_x0000_i1032" type="#_x0000_t75" style="width:42.75pt;height:14.25pt" o:ole="" filled="t">
            <v:fill color2="black"/>
            <v:imagedata r:id="rId22" o:title=""/>
          </v:shape>
          <o:OLEObject Type="Embed" ProgID="Equation.3" ShapeID="_x0000_i1032" DrawAspect="Content" ObjectID="_1579887595" r:id="rId23"/>
        </w:object>
      </w:r>
      <w:r w:rsidRPr="000A7843">
        <w:t xml:space="preserve">, представленную </w:t>
      </w:r>
      <w:r>
        <w:rPr>
          <w:i/>
          <w:iCs/>
          <w:lang w:val="en-US"/>
        </w:rPr>
        <w:t>N</w:t>
      </w:r>
      <w:r w:rsidRPr="000A7843">
        <w:t xml:space="preserve"> сегментами.</w:t>
      </w:r>
    </w:p>
    <w:p w:rsidR="00442478" w:rsidRDefault="00442478" w:rsidP="00442478">
      <w:pPr>
        <w:pStyle w:val="Zv-bodyreport"/>
      </w:pPr>
      <w:r>
        <w:t xml:space="preserve">Применим метод </w:t>
      </w:r>
      <w:r w:rsidRPr="000A7843">
        <w:t>Канторовича-Галеркина [</w:t>
      </w:r>
      <w:r>
        <w:t>1</w:t>
      </w:r>
      <w:r w:rsidRPr="000A7843">
        <w:t xml:space="preserve">] к уравнениям конвективного теплообмена, т.е. скалярно умножим указанные уравнения на базисные функции </w:t>
      </w:r>
      <w:r w:rsidRPr="0033133B">
        <w:rPr>
          <w:position w:val="-6"/>
        </w:rPr>
        <w:object w:dxaOrig="820" w:dyaOrig="360">
          <v:shape id="_x0000_i1033" type="#_x0000_t75" style="width:41.25pt;height:18pt" o:ole="" filled="t">
            <v:fill color2="black"/>
            <v:imagedata r:id="rId24" o:title=""/>
          </v:shape>
          <o:OLEObject Type="Embed" ProgID="Equation.3" ShapeID="_x0000_i1033" DrawAspect="Content" ObjectID="_1579887596" r:id="rId25"/>
        </w:object>
      </w:r>
      <w:r w:rsidRPr="000A7843">
        <w:t>.</w:t>
      </w:r>
      <w:r>
        <w:t xml:space="preserve"> Отыскиваем функцию распределения избыточной температуры</w:t>
      </w:r>
      <w:r w:rsidRPr="00C10458">
        <w:rPr>
          <w:position w:val="-4"/>
        </w:rPr>
        <w:object w:dxaOrig="680" w:dyaOrig="320">
          <v:shape id="_x0000_i1034" type="#_x0000_t75" style="width:33.75pt;height:15.75pt" o:ole="" filled="t">
            <v:fill color2="black"/>
            <v:imagedata r:id="rId26" o:title=""/>
          </v:shape>
          <o:OLEObject Type="Embed" ProgID="Equation.3" ShapeID="_x0000_i1034" DrawAspect="Content" ObjectID="_1579887597" r:id="rId27"/>
        </w:object>
      </w:r>
      <w:r>
        <w:t xml:space="preserve"> в виде </w:t>
      </w:r>
    </w:p>
    <w:p w:rsidR="00442478" w:rsidRPr="006169E9" w:rsidRDefault="00442478" w:rsidP="00442478">
      <w:pPr>
        <w:pStyle w:val="Zv-bodyreport"/>
        <w:jc w:val="center"/>
      </w:pPr>
      <w:r w:rsidRPr="00D06A93">
        <w:rPr>
          <w:position w:val="-23"/>
        </w:rPr>
        <w:object w:dxaOrig="2460" w:dyaOrig="700">
          <v:shape id="_x0000_i1035" type="#_x0000_t75" style="width:123pt;height:35.25pt" o:ole="" filled="t">
            <v:fill color2="black"/>
            <v:imagedata r:id="rId28" o:title=""/>
          </v:shape>
          <o:OLEObject Type="Embed" ProgID="Equation.3" ShapeID="_x0000_i1035" DrawAspect="Content" ObjectID="_1579887598" r:id="rId29"/>
        </w:object>
      </w:r>
    </w:p>
    <w:p w:rsidR="00442478" w:rsidRDefault="00442478" w:rsidP="00442478">
      <w:pPr>
        <w:pStyle w:val="Zv-bodyreport"/>
      </w:pPr>
      <w:r>
        <w:t>Полученные аналитические решения позволяют рассчитать тепловой баланс для широкого класса задач, особенностью которых является обдув и неравномерное распределение источников тепла по осевой координате.</w:t>
      </w:r>
    </w:p>
    <w:p w:rsidR="00442478" w:rsidRDefault="00442478" w:rsidP="00442478">
      <w:pPr>
        <w:pStyle w:val="Zv-bodyreport"/>
      </w:pPr>
      <w:r w:rsidRPr="000A7843">
        <w:t>Представленная модель позволяет рас</w:t>
      </w:r>
      <w:r>
        <w:t>с</w:t>
      </w:r>
      <w:r w:rsidRPr="000A7843">
        <w:t>читать влияние неоднородности распределения источников тепла на температурный профиль при наличии (</w:t>
      </w:r>
      <w:r>
        <w:rPr>
          <w:lang w:val="en-US"/>
        </w:rPr>
        <w:t>Pe</w:t>
      </w:r>
      <w:r w:rsidRPr="0033133B">
        <w:rPr>
          <w:position w:val="1"/>
        </w:rPr>
        <w:object w:dxaOrig="220" w:dyaOrig="220">
          <v:shape id="_x0000_i1036" type="#_x0000_t75" style="width:11.25pt;height:11.25pt" o:ole="" filled="t">
            <v:fill color2="black"/>
            <v:imagedata r:id="rId30" o:title=""/>
          </v:shape>
          <o:OLEObject Type="Embed" ProgID="Equation.3" ShapeID="_x0000_i1036" DrawAspect="Content" ObjectID="_1579887599" r:id="rId31"/>
        </w:object>
      </w:r>
      <w:r w:rsidRPr="000A7843">
        <w:t>0) и отсутствии потока газа (</w:t>
      </w:r>
      <w:r>
        <w:rPr>
          <w:lang w:val="en-US"/>
        </w:rPr>
        <w:t>Pe</w:t>
      </w:r>
      <w:r w:rsidRPr="000A7843">
        <w:t xml:space="preserve">=0). </w:t>
      </w:r>
    </w:p>
    <w:p w:rsidR="00442478" w:rsidRPr="00001660" w:rsidRDefault="00442478" w:rsidP="00442478">
      <w:pPr>
        <w:pStyle w:val="Zv-TitleReferences-en"/>
      </w:pPr>
      <w:r>
        <w:t>Литература.</w:t>
      </w:r>
    </w:p>
    <w:p w:rsidR="00442478" w:rsidRDefault="00442478" w:rsidP="00442478">
      <w:pPr>
        <w:pStyle w:val="Zv-References-ru"/>
        <w:numPr>
          <w:ilvl w:val="0"/>
          <w:numId w:val="1"/>
        </w:numPr>
      </w:pPr>
      <w:r w:rsidRPr="00E448F4">
        <w:t>Канторович Л. В., Крылов В. И. Приближенные методы высшего анализа. М.-Л.: Гостехиздат. 1949.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7AD" w:rsidRDefault="006A07AD">
      <w:r>
        <w:separator/>
      </w:r>
    </w:p>
  </w:endnote>
  <w:endnote w:type="continuationSeparator" w:id="0">
    <w:p w:rsidR="006A07AD" w:rsidRDefault="006A0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8518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8518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247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7AD" w:rsidRDefault="006A07AD">
      <w:r>
        <w:separator/>
      </w:r>
    </w:p>
  </w:footnote>
  <w:footnote w:type="continuationSeparator" w:id="0">
    <w:p w:rsidR="006A07AD" w:rsidRDefault="006A0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442478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B85186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07AD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247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07AD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85186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4424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footer" Target="footer1.xml"/><Relationship Id="rId7" Type="http://schemas.openxmlformats.org/officeDocument/2006/relationships/hyperlink" Target="mailto:gerasimov@kstu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РАСЧЕТА ТЕМПЕРАТУРНОГО ПОЛЯ ГАЗА, ДВИЖУЩЕГОСЯ В ЦИЛИНДРИЧЕСКОМ КАНАЛЕ ПРИ НАЛИЧИИ КУСОЧНО-ПОСТОЯННОГО РАСПРЕДЕЛЕННОГО ПО ОСЕВОЙ КООРДИНАТЕ ВНУТРЕННЕГО ИСТОЧНИКА ТЕПЛА</dc:title>
  <dc:creator>sato</dc:creator>
  <cp:lastModifiedBy>Сатунин</cp:lastModifiedBy>
  <cp:revision>1</cp:revision>
  <cp:lastPrinted>1601-01-01T00:00:00Z</cp:lastPrinted>
  <dcterms:created xsi:type="dcterms:W3CDTF">2018-02-11T17:51:00Z</dcterms:created>
  <dcterms:modified xsi:type="dcterms:W3CDTF">2018-02-11T17:53:00Z</dcterms:modified>
</cp:coreProperties>
</file>