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34" w:rsidRDefault="00876F34" w:rsidP="00876F34">
      <w:pPr>
        <w:pStyle w:val="Zv-Titlereport"/>
      </w:pPr>
      <w:r>
        <w:t>Нелинейное пространственное поглощение альфвеновской волны в диссипативной плазме с учётом влияния пространственной неоднородности и частоты альфвеновской волны</w:t>
      </w:r>
    </w:p>
    <w:p w:rsidR="00876F34" w:rsidRDefault="00876F34" w:rsidP="00876F34">
      <w:pPr>
        <w:pStyle w:val="Zv-Author"/>
      </w:pPr>
      <w:r w:rsidRPr="00A96F8E">
        <w:rPr>
          <w:u w:val="single"/>
        </w:rPr>
        <w:t>Гавриков</w:t>
      </w:r>
      <w:r w:rsidRPr="00AB38AB">
        <w:rPr>
          <w:u w:val="single"/>
        </w:rPr>
        <w:t xml:space="preserve"> </w:t>
      </w:r>
      <w:r w:rsidRPr="00A96F8E">
        <w:rPr>
          <w:u w:val="single"/>
        </w:rPr>
        <w:t>М.Б.</w:t>
      </w:r>
      <w:r w:rsidRPr="00AD7ECC">
        <w:rPr>
          <w:vertAlign w:val="superscript"/>
        </w:rPr>
        <w:t>1</w:t>
      </w:r>
      <w:r>
        <w:rPr>
          <w:vertAlign w:val="superscript"/>
        </w:rPr>
        <w:t>,2</w:t>
      </w:r>
      <w:r>
        <w:t>, Таюрский</w:t>
      </w:r>
      <w:r w:rsidRPr="00AB38AB">
        <w:t xml:space="preserve"> </w:t>
      </w:r>
      <w:r>
        <w:t>А.А.</w:t>
      </w:r>
      <w:r w:rsidRPr="00AD7ECC">
        <w:rPr>
          <w:vertAlign w:val="superscript"/>
        </w:rPr>
        <w:t>1</w:t>
      </w:r>
    </w:p>
    <w:p w:rsidR="00876F34" w:rsidRPr="00760913" w:rsidRDefault="00876F34" w:rsidP="00876F34">
      <w:pPr>
        <w:pStyle w:val="Zv-Organization"/>
        <w:rPr>
          <w:vertAlign w:val="superscript"/>
        </w:rPr>
      </w:pPr>
      <w:r w:rsidRPr="00AD7ECC">
        <w:rPr>
          <w:vertAlign w:val="superscript"/>
        </w:rPr>
        <w:t>1</w:t>
      </w:r>
      <w:r>
        <w:t xml:space="preserve">Институт прикладной </w:t>
      </w:r>
      <w:r w:rsidRPr="00876F34">
        <w:t>математики</w:t>
      </w:r>
      <w:r>
        <w:t xml:space="preserve">  им. М.В. Келдыша РАН, Москва, Россия,</w:t>
      </w:r>
      <w:r w:rsidRPr="00876F34">
        <w:br/>
        <w:t xml:space="preserve">    </w:t>
      </w:r>
      <w:r>
        <w:t xml:space="preserve"> </w:t>
      </w:r>
      <w:hyperlink r:id="rId7" w:history="1">
        <w:r w:rsidRPr="00B40993">
          <w:rPr>
            <w:rStyle w:val="a8"/>
            <w:lang w:val="en-US"/>
          </w:rPr>
          <w:t>tayurskiy</w:t>
        </w:r>
        <w:r w:rsidRPr="00B40993">
          <w:rPr>
            <w:rStyle w:val="a8"/>
          </w:rPr>
          <w:t>2001@</w:t>
        </w:r>
        <w:r w:rsidRPr="00B40993">
          <w:rPr>
            <w:rStyle w:val="a8"/>
            <w:lang w:val="en-US"/>
          </w:rPr>
          <w:t>mail</w:t>
        </w:r>
        <w:r w:rsidRPr="00B40993">
          <w:rPr>
            <w:rStyle w:val="a8"/>
          </w:rPr>
          <w:t>.</w:t>
        </w:r>
        <w:r w:rsidRPr="00B40993">
          <w:rPr>
            <w:rStyle w:val="a8"/>
            <w:lang w:val="en-US"/>
          </w:rPr>
          <w:t>ru</w:t>
        </w:r>
      </w:hyperlink>
      <w:r w:rsidRPr="00876F34">
        <w:rPr>
          <w:rStyle w:val="a8"/>
        </w:rPr>
        <w:br/>
      </w:r>
      <w:r>
        <w:rPr>
          <w:vertAlign w:val="superscript"/>
        </w:rPr>
        <w:t>2</w:t>
      </w:r>
      <w:r>
        <w:t>Московский государственный технический университет им. Н.Э. Баумана, Москва,</w:t>
      </w:r>
      <w:r>
        <w:rPr>
          <w:lang w:val="en-US"/>
        </w:rPr>
        <w:br/>
        <w:t xml:space="preserve">    </w:t>
      </w:r>
      <w:r>
        <w:t xml:space="preserve"> Россия, </w:t>
      </w:r>
      <w:hyperlink r:id="rId8" w:history="1">
        <w:r w:rsidRPr="00B40993">
          <w:rPr>
            <w:rStyle w:val="a8"/>
            <w:lang w:val="en-US"/>
          </w:rPr>
          <w:t>mbgavrikov</w:t>
        </w:r>
        <w:r w:rsidRPr="00B40993">
          <w:rPr>
            <w:rStyle w:val="a8"/>
          </w:rPr>
          <w:t>@</w:t>
        </w:r>
        <w:r w:rsidRPr="00B40993">
          <w:rPr>
            <w:rStyle w:val="a8"/>
            <w:lang w:val="en-US"/>
          </w:rPr>
          <w:t>yandex</w:t>
        </w:r>
        <w:r w:rsidRPr="00B40993">
          <w:rPr>
            <w:rStyle w:val="a8"/>
          </w:rPr>
          <w:t>.</w:t>
        </w:r>
        <w:r w:rsidRPr="00B40993">
          <w:rPr>
            <w:rStyle w:val="a8"/>
            <w:lang w:val="en-US"/>
          </w:rPr>
          <w:t>ru</w:t>
        </w:r>
      </w:hyperlink>
    </w:p>
    <w:p w:rsidR="00876F34" w:rsidRDefault="00876F34" w:rsidP="00876F34">
      <w:pPr>
        <w:pStyle w:val="Zv-bodyreport"/>
      </w:pPr>
      <w:r>
        <w:t xml:space="preserve">В докладе представлены результаты, полученные при исследовании нелинейного поглощения плоской альфвеновской волны плазмой, обусловленного диссипативными эффектами и тормозным излучением электронов. Исследование направлено на изучение возможного механизма аномального нагрева солнечной короны альфвеновскими волнами, возникающими в фотосфере Солнца, и привязано к параметрам солнечной короны. В предыдущих исследованиях </w:t>
      </w:r>
      <w:r w:rsidRPr="003B125B">
        <w:t>[1,2]</w:t>
      </w:r>
      <w:r>
        <w:t xml:space="preserve">, относящихся к однородной плазме, было показано, что альфвеновская волна проникает в диссипативную плазму на конечную глубину, а её параметры с течением времени стабилизируются, выходя на квазистационарный режим. В настоящем докладе исследовано влияние на поглощение альфвеновской волны пространственной неоднородности по плотности </w:t>
      </w:r>
      <w:r w:rsidRPr="003B125B">
        <w:rPr>
          <w:position w:val="-10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9" o:title=""/>
          </v:shape>
          <o:OLEObject Type="Embed" ProgID="Equation.3" ShapeID="_x0000_i1025" DrawAspect="Content" ObjectID="_1579878297" r:id="rId10"/>
        </w:object>
      </w:r>
      <w:r>
        <w:t xml:space="preserve"> и частоты волны </w:t>
      </w:r>
      <w:r w:rsidRPr="003B125B">
        <w:rPr>
          <w:position w:val="-6"/>
        </w:rPr>
        <w:object w:dxaOrig="220" w:dyaOrig="220">
          <v:shape id="_x0000_i1026" type="#_x0000_t75" style="width:11.25pt;height:11.25pt" o:ole="">
            <v:imagedata r:id="rId11" o:title=""/>
          </v:shape>
          <o:OLEObject Type="Embed" ProgID="Equation.3" ShapeID="_x0000_i1026" DrawAspect="Content" ObjectID="_1579878298" r:id="rId12"/>
        </w:object>
      </w:r>
      <w:r>
        <w:t xml:space="preserve">. Считается, что диссипативная плазма с плотностью </w:t>
      </w:r>
      <w:r w:rsidRPr="003B125B">
        <w:rPr>
          <w:position w:val="-10"/>
        </w:rPr>
        <w:object w:dxaOrig="499" w:dyaOrig="320">
          <v:shape id="_x0000_i1027" type="#_x0000_t75" style="width:24.75pt;height:15.75pt" o:ole="">
            <v:imagedata r:id="rId13" o:title=""/>
          </v:shape>
          <o:OLEObject Type="Embed" ProgID="Equation.3" ShapeID="_x0000_i1027" DrawAspect="Content" ObjectID="_1579878299" r:id="rId14"/>
        </w:object>
      </w:r>
      <w:r>
        <w:t xml:space="preserve"> заполняет полупространство </w:t>
      </w:r>
      <w:r w:rsidRPr="005A76D1">
        <w:rPr>
          <w:position w:val="-6"/>
        </w:rPr>
        <w:object w:dxaOrig="560" w:dyaOrig="279">
          <v:shape id="_x0000_i1028" type="#_x0000_t75" style="width:27.75pt;height:14.25pt" o:ole="">
            <v:imagedata r:id="rId15" o:title=""/>
          </v:shape>
          <o:OLEObject Type="Embed" ProgID="Equation.3" ShapeID="_x0000_i1028" DrawAspect="Content" ObjectID="_1579878300" r:id="rId16"/>
        </w:object>
      </w:r>
      <w:r>
        <w:t xml:space="preserve">, на левую границу которого </w:t>
      </w:r>
      <w:r w:rsidRPr="005A76D1">
        <w:rPr>
          <w:position w:val="-6"/>
        </w:rPr>
        <w:object w:dxaOrig="560" w:dyaOrig="279">
          <v:shape id="_x0000_i1029" type="#_x0000_t75" style="width:27.75pt;height:14.25pt" o:ole="">
            <v:imagedata r:id="rId17" o:title=""/>
          </v:shape>
          <o:OLEObject Type="Embed" ProgID="Equation.3" ShapeID="_x0000_i1029" DrawAspect="Content" ObjectID="_1579878301" r:id="rId18"/>
        </w:object>
      </w:r>
      <w:r>
        <w:t xml:space="preserve"> набегает альфвеновская волна с частотой </w:t>
      </w:r>
      <w:r w:rsidRPr="005A76D1">
        <w:rPr>
          <w:position w:val="-6"/>
        </w:rPr>
        <w:object w:dxaOrig="220" w:dyaOrig="220">
          <v:shape id="_x0000_i1030" type="#_x0000_t75" style="width:11.25pt;height:11.25pt" o:ole="">
            <v:imagedata r:id="rId19" o:title=""/>
          </v:shape>
          <o:OLEObject Type="Embed" ProgID="Equation.3" ShapeID="_x0000_i1030" DrawAspect="Content" ObjectID="_1579878302" r:id="rId20"/>
        </w:object>
      </w:r>
      <w:r>
        <w:t>. Дальнейшее распространение волны сопряжено с её затуханием, которое и является предметом изучения.</w:t>
      </w:r>
    </w:p>
    <w:p w:rsidR="00876F34" w:rsidRDefault="00876F34" w:rsidP="00876F34">
      <w:pPr>
        <w:pStyle w:val="Zv-bodyreport"/>
      </w:pPr>
      <w:r>
        <w:t xml:space="preserve">Исследованы основные типы неоднородности вида </w:t>
      </w:r>
      <w:r w:rsidRPr="005A76D1">
        <w:rPr>
          <w:position w:val="-12"/>
        </w:rPr>
        <w:object w:dxaOrig="3900" w:dyaOrig="440">
          <v:shape id="_x0000_i1031" type="#_x0000_t75" style="width:195pt;height:21.75pt" o:ole="">
            <v:imagedata r:id="rId21" o:title=""/>
          </v:shape>
          <o:OLEObject Type="Embed" ProgID="Equation.3" ShapeID="_x0000_i1031" DrawAspect="Content" ObjectID="_1579878303" r:id="rId22"/>
        </w:object>
      </w:r>
      <w:r>
        <w:t xml:space="preserve">, </w:t>
      </w:r>
      <w:r w:rsidRPr="005A76D1">
        <w:rPr>
          <w:position w:val="-6"/>
        </w:rPr>
        <w:object w:dxaOrig="639" w:dyaOrig="279">
          <v:shape id="_x0000_i1032" type="#_x0000_t75" style="width:32.25pt;height:14.25pt" o:ole="">
            <v:imagedata r:id="rId23" o:title=""/>
          </v:shape>
          <o:OLEObject Type="Embed" ProgID="Equation.3" ShapeID="_x0000_i1032" DrawAspect="Content" ObjectID="_1579878304" r:id="rId24"/>
        </w:object>
      </w:r>
      <w:r>
        <w:t xml:space="preserve">, </w:t>
      </w:r>
      <w:r w:rsidRPr="005A76D1">
        <w:rPr>
          <w:position w:val="-12"/>
        </w:rPr>
        <w:object w:dxaOrig="700" w:dyaOrig="360">
          <v:shape id="_x0000_i1033" type="#_x0000_t75" style="width:35.25pt;height:18pt" o:ole="">
            <v:imagedata r:id="rId25" o:title=""/>
          </v:shape>
          <o:OLEObject Type="Embed" ProgID="Equation.3" ShapeID="_x0000_i1033" DrawAspect="Content" ObjectID="_1579878305" r:id="rId26"/>
        </w:object>
      </w:r>
      <w:r>
        <w:t xml:space="preserve">. При </w:t>
      </w:r>
      <w:r w:rsidRPr="005A76D1">
        <w:rPr>
          <w:position w:val="-6"/>
        </w:rPr>
        <w:object w:dxaOrig="600" w:dyaOrig="279">
          <v:shape id="_x0000_i1034" type="#_x0000_t75" style="width:30pt;height:14.25pt" o:ole="">
            <v:imagedata r:id="rId27" o:title=""/>
          </v:shape>
          <o:OLEObject Type="Embed" ProgID="Equation.3" ShapeID="_x0000_i1034" DrawAspect="Content" ObjectID="_1579878306" r:id="rId28"/>
        </w:object>
      </w:r>
      <w:r>
        <w:t xml:space="preserve"> имеем неоднородность типа горба, при </w:t>
      </w:r>
      <w:r w:rsidRPr="005A76D1">
        <w:rPr>
          <w:position w:val="-6"/>
        </w:rPr>
        <w:object w:dxaOrig="1100" w:dyaOrig="279">
          <v:shape id="_x0000_i1035" type="#_x0000_t75" style="width:54.75pt;height:14.25pt" o:ole="">
            <v:imagedata r:id="rId29" o:title=""/>
          </v:shape>
          <o:OLEObject Type="Embed" ProgID="Equation.3" ShapeID="_x0000_i1035" DrawAspect="Content" ObjectID="_1579878307" r:id="rId30"/>
        </w:object>
      </w:r>
      <w:r>
        <w:t xml:space="preserve"> – типа впадины. Чередуя неоднородности типа горба и впадины, можно получить любую пространственную неоднородность плазмы по плотности. Численное исследование затухания альфвеновской волны на базе уравнений двухжидкостной электромагнитной гидродинамики с полным учётом инерции электронов привели к следующим выводам:</w:t>
      </w:r>
    </w:p>
    <w:p w:rsidR="00876F34" w:rsidRDefault="00876F34" w:rsidP="00876F34">
      <w:pPr>
        <w:pStyle w:val="Zv-bodyreport"/>
        <w:ind w:left="284" w:firstLine="0"/>
      </w:pPr>
      <w:r w:rsidRPr="00760913">
        <w:t xml:space="preserve">1) </w:t>
      </w:r>
      <w:r>
        <w:t xml:space="preserve">С увеличением высоты горба </w:t>
      </w:r>
      <w:r w:rsidRPr="005A76D1">
        <w:rPr>
          <w:position w:val="-4"/>
        </w:rPr>
        <w:object w:dxaOrig="240" w:dyaOrig="260">
          <v:shape id="_x0000_i1036" type="#_x0000_t75" style="width:12pt;height:12.75pt" o:ole="">
            <v:imagedata r:id="rId31" o:title=""/>
          </v:shape>
          <o:OLEObject Type="Embed" ProgID="Equation.3" ShapeID="_x0000_i1036" DrawAspect="Content" ObjectID="_1579878308" r:id="rId32"/>
        </w:object>
      </w:r>
      <w:r>
        <w:t xml:space="preserve"> или ширины пространственной неоднородности </w:t>
      </w:r>
      <w:r w:rsidRPr="005A76D1">
        <w:rPr>
          <w:position w:val="-6"/>
        </w:rPr>
        <w:object w:dxaOrig="440" w:dyaOrig="340">
          <v:shape id="_x0000_i1037" type="#_x0000_t75" style="width:21.75pt;height:17.25pt" o:ole="">
            <v:imagedata r:id="rId33" o:title=""/>
          </v:shape>
          <o:OLEObject Type="Embed" ProgID="Equation.3" ShapeID="_x0000_i1037" DrawAspect="Content" ObjectID="_1579878309" r:id="rId34"/>
        </w:object>
      </w:r>
      <w:r>
        <w:t xml:space="preserve"> глубина проникновения альфвеновской волны в диссипативную плазму и максимальные температуры электронов и ионов уменьшаются.</w:t>
      </w:r>
    </w:p>
    <w:p w:rsidR="00876F34" w:rsidRDefault="00876F34" w:rsidP="00876F34">
      <w:pPr>
        <w:pStyle w:val="Zv-bodyreport"/>
        <w:ind w:left="284" w:firstLine="0"/>
      </w:pPr>
      <w:r w:rsidRPr="00760913">
        <w:t xml:space="preserve">2) </w:t>
      </w:r>
      <w:r>
        <w:t>Для неоднородности типа впадины глубина проникновения альфвеновской волны и максимальные температуры электронов и ионов возрастают.</w:t>
      </w:r>
    </w:p>
    <w:p w:rsidR="00876F34" w:rsidRDefault="00876F34" w:rsidP="00876F34">
      <w:pPr>
        <w:pStyle w:val="Zv-bodyreport"/>
        <w:ind w:left="284" w:firstLine="0"/>
      </w:pPr>
      <w:r w:rsidRPr="00760913">
        <w:t xml:space="preserve">3) </w:t>
      </w:r>
      <w:r>
        <w:t xml:space="preserve">Максимальная глубина проникновения и наибольшие значения максимальных температур электронов и ионов достигаются на средних частотах альфвеновской волны </w:t>
      </w:r>
      <w:r w:rsidRPr="00451EC2">
        <w:rPr>
          <w:position w:val="-12"/>
        </w:rPr>
        <w:object w:dxaOrig="1040" w:dyaOrig="440">
          <v:shape id="_x0000_i1038" type="#_x0000_t75" style="width:51.75pt;height:21.75pt" o:ole="">
            <v:imagedata r:id="rId35" o:title=""/>
          </v:shape>
          <o:OLEObject Type="Embed" ProgID="Equation.3" ShapeID="_x0000_i1038" DrawAspect="Content" ObjectID="_1579878310" r:id="rId36"/>
        </w:object>
      </w:r>
      <w:r>
        <w:t xml:space="preserve"> (</w:t>
      </w:r>
      <w:r w:rsidRPr="00451EC2">
        <w:rPr>
          <w:position w:val="-12"/>
        </w:rPr>
        <w:object w:dxaOrig="340" w:dyaOrig="440">
          <v:shape id="_x0000_i1039" type="#_x0000_t75" style="width:17.25pt;height:21.75pt" o:ole="">
            <v:imagedata r:id="rId37" o:title=""/>
          </v:shape>
          <o:OLEObject Type="Embed" ProgID="Equation.3" ShapeID="_x0000_i1039" DrawAspect="Content" ObjectID="_1579878311" r:id="rId38"/>
        </w:object>
      </w:r>
      <w:r>
        <w:t xml:space="preserve"> – циклотронная частота электронов), на частотах </w:t>
      </w:r>
      <w:r w:rsidRPr="00451EC2">
        <w:rPr>
          <w:position w:val="-6"/>
        </w:rPr>
        <w:object w:dxaOrig="600" w:dyaOrig="279">
          <v:shape id="_x0000_i1040" type="#_x0000_t75" style="width:30pt;height:14.25pt" o:ole="">
            <v:imagedata r:id="rId39" o:title=""/>
          </v:shape>
          <o:OLEObject Type="Embed" ProgID="Equation.3" ShapeID="_x0000_i1040" DrawAspect="Content" ObjectID="_1579878312" r:id="rId40"/>
        </w:object>
      </w:r>
      <w:r>
        <w:t xml:space="preserve">, </w:t>
      </w:r>
      <w:r w:rsidRPr="00451EC2">
        <w:rPr>
          <w:position w:val="-12"/>
        </w:rPr>
        <w:object w:dxaOrig="740" w:dyaOrig="440">
          <v:shape id="_x0000_i1041" type="#_x0000_t75" style="width:36.75pt;height:21.75pt" o:ole="">
            <v:imagedata r:id="rId41" o:title=""/>
          </v:shape>
          <o:OLEObject Type="Embed" ProgID="Equation.3" ShapeID="_x0000_i1041" DrawAspect="Content" ObjectID="_1579878313" r:id="rId42"/>
        </w:object>
      </w:r>
      <w:r>
        <w:t xml:space="preserve"> плазма практически не разогревается, а волна не поглощается.</w:t>
      </w:r>
    </w:p>
    <w:p w:rsidR="00876F34" w:rsidRDefault="00876F34" w:rsidP="00876F34">
      <w:pPr>
        <w:pStyle w:val="Zv-bodyreport"/>
      </w:pPr>
      <w:r>
        <w:t xml:space="preserve">В частности, неоднородности типа горба </w:t>
      </w:r>
      <w:r w:rsidRPr="00451EC2">
        <w:t>“</w:t>
      </w:r>
      <w:r>
        <w:t>запирают</w:t>
      </w:r>
      <w:r w:rsidRPr="00451EC2">
        <w:t>”</w:t>
      </w:r>
      <w:r>
        <w:t xml:space="preserve"> альфвеновскую волну, не пропуская её в диссипативную плазму, а неоднородности типа впадины ускоряют процесс поглощения.</w:t>
      </w:r>
    </w:p>
    <w:p w:rsidR="00876F34" w:rsidRPr="00451EC2" w:rsidRDefault="00876F34" w:rsidP="00876F34">
      <w:pPr>
        <w:pStyle w:val="Zv-bodyreport"/>
        <w:ind w:left="284" w:firstLine="0"/>
      </w:pPr>
      <w:r>
        <w:t>Исследование выполнено за счёт гранта РНФ (</w:t>
      </w:r>
      <w:r w:rsidRPr="009E4201">
        <w:t>проект №16-11-10278</w:t>
      </w:r>
      <w:r>
        <w:t>).</w:t>
      </w:r>
    </w:p>
    <w:p w:rsidR="00876F34" w:rsidRDefault="00876F34" w:rsidP="00876F34">
      <w:pPr>
        <w:pStyle w:val="Zv-TitleReferences-ru"/>
        <w:rPr>
          <w:lang w:val="en-US"/>
        </w:rPr>
      </w:pPr>
      <w:r>
        <w:t>Литература.</w:t>
      </w:r>
    </w:p>
    <w:p w:rsidR="00876F34" w:rsidRPr="00760913" w:rsidRDefault="00876F34" w:rsidP="00876F34">
      <w:pPr>
        <w:pStyle w:val="Zv-References-ru"/>
        <w:numPr>
          <w:ilvl w:val="0"/>
          <w:numId w:val="1"/>
        </w:numPr>
      </w:pPr>
      <w:r w:rsidRPr="008C43E5">
        <w:t>Гавриков М.Б., Таюрский А.А. Вестник МГТУ и</w:t>
      </w:r>
      <w:r>
        <w:t>м. Н.Э. Баумана. Сер. Естествен</w:t>
      </w:r>
      <w:r w:rsidRPr="008C43E5">
        <w:t xml:space="preserve">ные науки. 2017. </w:t>
      </w:r>
      <w:r w:rsidRPr="00760913">
        <w:t xml:space="preserve">№ </w:t>
      </w:r>
      <w:smartTag w:uri="urn:schemas-microsoft-com:office:smarttags" w:element="metricconverter">
        <w:smartTagPr>
          <w:attr w:name="ProductID" w:val="2. C"/>
        </w:smartTagPr>
        <w:r w:rsidRPr="00760913">
          <w:t xml:space="preserve">2. </w:t>
        </w:r>
        <w:r w:rsidRPr="00760913">
          <w:rPr>
            <w:lang w:val="en-US"/>
          </w:rPr>
          <w:t>C</w:t>
        </w:r>
      </w:smartTag>
      <w:r w:rsidRPr="00760913">
        <w:t xml:space="preserve">. 40–59. </w:t>
      </w:r>
      <w:r>
        <w:rPr>
          <w:szCs w:val="24"/>
          <w:lang w:val="en-US"/>
        </w:rPr>
        <w:t>doi</w:t>
      </w:r>
      <w:r w:rsidRPr="008C43E5">
        <w:rPr>
          <w:szCs w:val="24"/>
        </w:rPr>
        <w:t>: 10.18698/1812-3368-2017-2-40-5</w:t>
      </w:r>
      <w:r>
        <w:rPr>
          <w:szCs w:val="24"/>
        </w:rPr>
        <w:t>9.</w:t>
      </w:r>
    </w:p>
    <w:p w:rsidR="00876F34" w:rsidRPr="0053343A" w:rsidRDefault="00876F34" w:rsidP="00876F34">
      <w:pPr>
        <w:pStyle w:val="Zv-References-ru"/>
        <w:numPr>
          <w:ilvl w:val="0"/>
          <w:numId w:val="1"/>
        </w:numPr>
        <w:rPr>
          <w:lang w:val="en-US"/>
        </w:rPr>
      </w:pPr>
      <w:r w:rsidRPr="00760913">
        <w:rPr>
          <w:szCs w:val="24"/>
          <w:lang w:val="en-US"/>
        </w:rPr>
        <w:t xml:space="preserve">Taiurskii A. A., Gavrikov M. B. Spatial nonlinear absorption of Alfven waves by dissipative plasma taking account bremsstrahlung. </w:t>
      </w:r>
      <w:r w:rsidRPr="0053343A">
        <w:rPr>
          <w:szCs w:val="24"/>
          <w:lang w:val="en-US"/>
        </w:rPr>
        <w:t>V. 1773, 090003, 2016, 15 p. doi: 10.1063/1.4964994.</w:t>
      </w:r>
    </w:p>
    <w:sectPr w:rsidR="00876F34" w:rsidRPr="0053343A" w:rsidSect="00F9512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0B" w:rsidRDefault="008D0C0B">
      <w:r>
        <w:separator/>
      </w:r>
    </w:p>
  </w:endnote>
  <w:endnote w:type="continuationSeparator" w:id="0">
    <w:p w:rsidR="008D0C0B" w:rsidRDefault="008D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6A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6A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6F3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0B" w:rsidRDefault="008D0C0B">
      <w:r>
        <w:separator/>
      </w:r>
    </w:p>
  </w:footnote>
  <w:footnote w:type="continuationSeparator" w:id="0">
    <w:p w:rsidR="008D0C0B" w:rsidRDefault="008D0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76F3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66A3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0C0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6A34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76F34"/>
    <w:rsid w:val="008D0C0B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76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mailto:tayurskiy2001@mail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mailto:mbgavrikov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НЕЛИНЕЙНОЕ ПРОСТРАНСТВЕННОЕ ПОГЛОЩЕНИЕ АЛЬФВЕНОВСКОЙ ВОЛНЫ В ДИССИПАТИВНОЙ ПЛАЗМЕ С УЧЁТОМ ВЛИЯНИЯ ПРОСТРАНСТВЕННОЙ НЕОДНОРОДНОСТИ И ЧАСТОТЫ АЛЬФВЕНОВСКОЙ ВОЛНЫ</dc:title>
  <dc:creator>sato</dc:creator>
  <cp:lastModifiedBy>Сатунин</cp:lastModifiedBy>
  <cp:revision>1</cp:revision>
  <cp:lastPrinted>1601-01-01T00:00:00Z</cp:lastPrinted>
  <dcterms:created xsi:type="dcterms:W3CDTF">2018-02-11T15:17:00Z</dcterms:created>
  <dcterms:modified xsi:type="dcterms:W3CDTF">2018-02-11T15:18:00Z</dcterms:modified>
</cp:coreProperties>
</file>