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6EA" w:rsidRPr="008930A9" w:rsidRDefault="00C076EA" w:rsidP="00C076EA">
      <w:pPr>
        <w:pStyle w:val="Zv-Titlereport"/>
        <w:rPr>
          <w:lang w:val="en-US"/>
        </w:rPr>
      </w:pPr>
      <w:r>
        <w:rPr>
          <w:lang w:val="en-US"/>
        </w:rPr>
        <w:t>the analY</w:t>
      </w:r>
      <w:r w:rsidRPr="008930A9">
        <w:rPr>
          <w:lang w:val="en-US"/>
        </w:rPr>
        <w:t>tical proof</w:t>
      </w:r>
      <w:r>
        <w:rPr>
          <w:lang w:val="en-US"/>
        </w:rPr>
        <w:t xml:space="preserve"> </w:t>
      </w:r>
      <w:r w:rsidRPr="008930A9">
        <w:rPr>
          <w:lang w:val="en-US"/>
        </w:rPr>
        <w:t>of the matter – antimatter Universe separation under the phase explosion</w:t>
      </w:r>
    </w:p>
    <w:p w:rsidR="00C076EA" w:rsidRDefault="00C076EA" w:rsidP="00C076EA">
      <w:pPr>
        <w:pStyle w:val="Zv-Author"/>
        <w:rPr>
          <w:lang w:val="en-US"/>
        </w:rPr>
      </w:pPr>
      <w:r>
        <w:rPr>
          <w:lang w:val="en-US"/>
        </w:rPr>
        <w:t>A.V. Gordeev</w:t>
      </w:r>
    </w:p>
    <w:p w:rsidR="00C076EA" w:rsidRDefault="00C076EA" w:rsidP="00C076EA">
      <w:pPr>
        <w:pStyle w:val="Zv-Organization"/>
        <w:rPr>
          <w:lang w:val="en-US"/>
        </w:rPr>
      </w:pPr>
      <w:r>
        <w:rPr>
          <w:lang w:val="en-US"/>
        </w:rPr>
        <w:t xml:space="preserve">NRC “Kurchatov Institute”,  </w:t>
      </w:r>
      <w:smartTag w:uri="urn:schemas-microsoft-com:office:smarttags" w:element="place">
        <w:smartTag w:uri="urn:schemas-microsoft-com:office:smarttags" w:element="City">
          <w:r>
            <w:rPr>
              <w:lang w:val="en-US"/>
            </w:rPr>
            <w:t>Moscow</w:t>
          </w:r>
        </w:smartTag>
        <w:r>
          <w:rPr>
            <w:lang w:val="en-US"/>
          </w:rPr>
          <w:t xml:space="preserve">, </w:t>
        </w:r>
        <w:smartTag w:uri="urn:schemas-microsoft-com:office:smarttags" w:element="country-region">
          <w:r>
            <w:rPr>
              <w:lang w:val="en-US"/>
            </w:rPr>
            <w:t>Russia</w:t>
          </w:r>
        </w:smartTag>
      </w:smartTag>
      <w:r>
        <w:rPr>
          <w:lang w:val="en-US"/>
        </w:rPr>
        <w:t xml:space="preserve">, </w:t>
      </w:r>
      <w:hyperlink r:id="rId7" w:history="1">
        <w:r w:rsidRPr="008A0A66">
          <w:rPr>
            <w:rStyle w:val="a7"/>
            <w:lang w:val="en-US"/>
          </w:rPr>
          <w:t>alexandergordeev@yandex.ru</w:t>
        </w:r>
      </w:hyperlink>
    </w:p>
    <w:p w:rsidR="00C076EA" w:rsidRDefault="00C076EA" w:rsidP="00C076EA">
      <w:pPr>
        <w:pStyle w:val="Zv-bodyreport"/>
        <w:rPr>
          <w:lang w:val="en-US"/>
        </w:rPr>
      </w:pPr>
      <w:r>
        <w:rPr>
          <w:lang w:val="en-US"/>
        </w:rPr>
        <w:t xml:space="preserve">The forming of the  electromagnetic  flux in the singularity [1] in the absence  of the charged particles does not result  in the flying – apart  of the matter  because of  the its  reflection due to  the gravitation effects. The real flying – apart appears only  as a result of the phase explosion – the simultaneous appearance of the radial electric field </w:t>
      </w:r>
      <w:r w:rsidRPr="00C96372">
        <w:rPr>
          <w:position w:val="-10"/>
          <w:lang w:val="en-US"/>
        </w:rPr>
        <w:object w:dxaOrig="3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7.25pt" o:ole="">
            <v:imagedata r:id="rId8" o:title=""/>
          </v:shape>
          <o:OLEObject Type="Embed" ProgID="Equation.3" ShapeID="_x0000_i1025" DrawAspect="Content" ObjectID="_1579959410" r:id="rId9"/>
        </w:object>
      </w:r>
      <w:r>
        <w:rPr>
          <w:lang w:val="en-US"/>
        </w:rPr>
        <w:t xml:space="preserve"> and  the Schwinger production of the charged particles outside the singularity by the account  of the Poisson equation  [2]</w:t>
      </w:r>
    </w:p>
    <w:p w:rsidR="00C076EA" w:rsidRDefault="00C076EA" w:rsidP="00C076EA">
      <w:pPr>
        <w:pStyle w:val="Zv-formula"/>
        <w:rPr>
          <w:lang w:val="en-US"/>
        </w:rPr>
      </w:pPr>
      <w:r>
        <w:rPr>
          <w:lang w:val="en-US"/>
        </w:rPr>
        <w:t xml:space="preserve"> </w:t>
      </w:r>
      <w:r>
        <w:rPr>
          <w:lang w:val="en-US"/>
        </w:rPr>
        <w:tab/>
      </w:r>
      <w:r w:rsidRPr="00D278A5">
        <w:rPr>
          <w:position w:val="-24"/>
          <w:lang w:val="en-US"/>
        </w:rPr>
        <w:object w:dxaOrig="1960" w:dyaOrig="660">
          <v:shape id="_x0000_i1026" type="#_x0000_t75" style="width:98.25pt;height:33pt" o:ole="">
            <v:imagedata r:id="rId10" o:title=""/>
          </v:shape>
          <o:OLEObject Type="Embed" ProgID="Equation.3" ShapeID="_x0000_i1026" DrawAspect="Content" ObjectID="_1579959411" r:id="rId11"/>
        </w:object>
      </w:r>
      <w:r>
        <w:rPr>
          <w:lang w:val="en-US"/>
        </w:rPr>
        <w:t xml:space="preserve">,  </w:t>
      </w:r>
      <w:r w:rsidRPr="00D278A5">
        <w:rPr>
          <w:position w:val="-32"/>
          <w:lang w:val="en-US"/>
        </w:rPr>
        <w:object w:dxaOrig="3180" w:dyaOrig="760">
          <v:shape id="_x0000_i1027" type="#_x0000_t75" style="width:159pt;height:38.25pt" o:ole="">
            <v:imagedata r:id="rId12" o:title=""/>
          </v:shape>
          <o:OLEObject Type="Embed" ProgID="Equation.3" ShapeID="_x0000_i1027" DrawAspect="Content" ObjectID="_1579959412" r:id="rId13"/>
        </w:object>
      </w:r>
      <w:r>
        <w:rPr>
          <w:lang w:val="en-US"/>
        </w:rPr>
        <w:t xml:space="preserve">,  </w:t>
      </w:r>
      <w:r w:rsidRPr="00CE6E13">
        <w:rPr>
          <w:position w:val="-32"/>
          <w:lang w:val="en-US"/>
        </w:rPr>
        <w:object w:dxaOrig="1420" w:dyaOrig="760">
          <v:shape id="_x0000_i1028" type="#_x0000_t75" style="width:71.25pt;height:38.25pt" o:ole="">
            <v:imagedata r:id="rId14" o:title=""/>
          </v:shape>
          <o:OLEObject Type="Embed" ProgID="Equation.3" ShapeID="_x0000_i1028" DrawAspect="Content" ObjectID="_1579959413" r:id="rId15"/>
        </w:object>
      </w:r>
      <w:r>
        <w:rPr>
          <w:lang w:val="en-US"/>
        </w:rPr>
        <w:tab/>
        <w:t>(1)</w:t>
      </w:r>
    </w:p>
    <w:p w:rsidR="00C076EA" w:rsidRDefault="00C076EA" w:rsidP="00C076EA">
      <w:pPr>
        <w:pStyle w:val="Zv-bodyreport"/>
        <w:ind w:firstLine="0"/>
        <w:rPr>
          <w:lang w:val="en-US"/>
        </w:rPr>
      </w:pPr>
      <w:r>
        <w:rPr>
          <w:lang w:val="en-US"/>
        </w:rPr>
        <w:t xml:space="preserve">where </w:t>
      </w:r>
      <w:r w:rsidRPr="00CE6E13">
        <w:rPr>
          <w:position w:val="-30"/>
          <w:lang w:val="en-US"/>
        </w:rPr>
        <w:object w:dxaOrig="660" w:dyaOrig="680">
          <v:shape id="_x0000_i1029" type="#_x0000_t75" style="width:33pt;height:33.75pt" o:ole="">
            <v:imagedata r:id="rId16" o:title=""/>
          </v:shape>
          <o:OLEObject Type="Embed" ProgID="Equation.3" ShapeID="_x0000_i1029" DrawAspect="Content" ObjectID="_1579959414" r:id="rId17"/>
        </w:object>
      </w:r>
      <w:r>
        <w:rPr>
          <w:lang w:val="en-US"/>
        </w:rPr>
        <w:t xml:space="preserve">,  </w:t>
      </w:r>
      <w:r w:rsidRPr="00CE6E13">
        <w:rPr>
          <w:position w:val="-30"/>
          <w:lang w:val="en-US"/>
        </w:rPr>
        <w:object w:dxaOrig="660" w:dyaOrig="680">
          <v:shape id="_x0000_i1030" type="#_x0000_t75" style="width:33pt;height:33.75pt" o:ole="">
            <v:imagedata r:id="rId18" o:title=""/>
          </v:shape>
          <o:OLEObject Type="Embed" ProgID="Equation.3" ShapeID="_x0000_i1030" DrawAspect="Content" ObjectID="_1579959415" r:id="rId19"/>
        </w:object>
      </w:r>
      <w:r>
        <w:rPr>
          <w:lang w:val="en-US"/>
        </w:rPr>
        <w:t xml:space="preserve">,  </w:t>
      </w:r>
      <w:r w:rsidRPr="00CE6E13">
        <w:rPr>
          <w:position w:val="-26"/>
          <w:lang w:val="en-US"/>
        </w:rPr>
        <w:object w:dxaOrig="1200" w:dyaOrig="700">
          <v:shape id="_x0000_i1031" type="#_x0000_t75" style="width:60pt;height:35.25pt" o:ole="">
            <v:imagedata r:id="rId20" o:title=""/>
          </v:shape>
          <o:OLEObject Type="Embed" ProgID="Equation.3" ShapeID="_x0000_i1031" DrawAspect="Content" ObjectID="_1579959416" r:id="rId21"/>
        </w:object>
      </w:r>
      <w:r>
        <w:rPr>
          <w:lang w:val="en-US"/>
        </w:rPr>
        <w:t xml:space="preserve">,  </w:t>
      </w:r>
      <w:r w:rsidRPr="00A10259">
        <w:rPr>
          <w:position w:val="-24"/>
          <w:lang w:val="en-US"/>
        </w:rPr>
        <w:object w:dxaOrig="1100" w:dyaOrig="620">
          <v:shape id="_x0000_i1032" type="#_x0000_t75" style="width:54.75pt;height:30.75pt" o:ole="">
            <v:imagedata r:id="rId22" o:title=""/>
          </v:shape>
          <o:OLEObject Type="Embed" ProgID="Equation.3" ShapeID="_x0000_i1032" DrawAspect="Content" ObjectID="_1579959417" r:id="rId23"/>
        </w:object>
      </w:r>
      <w:r>
        <w:rPr>
          <w:lang w:val="en-US"/>
        </w:rPr>
        <w:t xml:space="preserve">, </w:t>
      </w:r>
      <w:r w:rsidRPr="002D7290">
        <w:rPr>
          <w:position w:val="-26"/>
          <w:lang w:val="en-US"/>
        </w:rPr>
        <w:object w:dxaOrig="1120" w:dyaOrig="700">
          <v:shape id="_x0000_i1033" type="#_x0000_t75" style="width:56.25pt;height:35.25pt" o:ole="">
            <v:imagedata r:id="rId24" o:title=""/>
          </v:shape>
          <o:OLEObject Type="Embed" ProgID="Equation.3" ShapeID="_x0000_i1033" DrawAspect="Content" ObjectID="_1579959418" r:id="rId25"/>
        </w:object>
      </w:r>
      <w:r>
        <w:rPr>
          <w:lang w:val="en-US"/>
        </w:rPr>
        <w:t xml:space="preserve">, </w:t>
      </w:r>
      <w:r w:rsidRPr="002D7290">
        <w:rPr>
          <w:position w:val="-24"/>
          <w:lang w:val="en-US"/>
        </w:rPr>
        <w:object w:dxaOrig="1219" w:dyaOrig="660">
          <v:shape id="_x0000_i1034" type="#_x0000_t75" style="width:60.75pt;height:33pt" o:ole="">
            <v:imagedata r:id="rId26" o:title=""/>
          </v:shape>
          <o:OLEObject Type="Embed" ProgID="Equation.3" ShapeID="_x0000_i1034" DrawAspect="Content" ObjectID="_1579959419" r:id="rId27"/>
        </w:object>
      </w:r>
      <w:r>
        <w:rPr>
          <w:lang w:val="en-US"/>
        </w:rPr>
        <w:t xml:space="preserve">,  </w:t>
      </w:r>
      <w:r w:rsidRPr="002D7290">
        <w:rPr>
          <w:position w:val="-12"/>
          <w:lang w:val="en-US"/>
        </w:rPr>
        <w:object w:dxaOrig="1120" w:dyaOrig="360">
          <v:shape id="_x0000_i1035" type="#_x0000_t75" style="width:56.25pt;height:18pt" o:ole="">
            <v:imagedata r:id="rId28" o:title=""/>
          </v:shape>
          <o:OLEObject Type="Embed" ProgID="Equation.3" ShapeID="_x0000_i1035" DrawAspect="Content" ObjectID="_1579959420" r:id="rId29"/>
        </w:object>
      </w:r>
      <w:r>
        <w:rPr>
          <w:lang w:val="en-US"/>
        </w:rPr>
        <w:t>.</w:t>
      </w:r>
    </w:p>
    <w:p w:rsidR="00C076EA" w:rsidRDefault="00C076EA" w:rsidP="00C076EA">
      <w:pPr>
        <w:pStyle w:val="Zv-bodyreport"/>
        <w:ind w:firstLine="0"/>
        <w:rPr>
          <w:lang w:val="en-US"/>
        </w:rPr>
      </w:pPr>
    </w:p>
    <w:p w:rsidR="00C076EA" w:rsidRDefault="00C076EA" w:rsidP="00C076EA">
      <w:pPr>
        <w:pStyle w:val="Zv-bodyreportcont"/>
        <w:rPr>
          <w:lang w:val="en-US"/>
        </w:rPr>
      </w:pPr>
      <w:r>
        <w:rPr>
          <w:lang w:val="en-US"/>
        </w:rPr>
        <w:t xml:space="preserve">When  approximating  </w:t>
      </w:r>
      <w:r w:rsidRPr="00CE7F0C">
        <w:rPr>
          <w:position w:val="-10"/>
          <w:lang w:val="en-US"/>
        </w:rPr>
        <w:object w:dxaOrig="740" w:dyaOrig="340">
          <v:shape id="_x0000_i1036" type="#_x0000_t75" style="width:36.75pt;height:17.25pt" o:ole="">
            <v:imagedata r:id="rId30" o:title=""/>
          </v:shape>
          <o:OLEObject Type="Embed" ProgID="Equation.3" ShapeID="_x0000_i1036" DrawAspect="Content" ObjectID="_1579959421" r:id="rId31"/>
        </w:object>
      </w:r>
      <w:r>
        <w:rPr>
          <w:lang w:val="en-US"/>
        </w:rPr>
        <w:t xml:space="preserve"> near the singularity by  </w:t>
      </w:r>
      <w:r w:rsidRPr="00CE7F0C">
        <w:rPr>
          <w:position w:val="-6"/>
          <w:lang w:val="en-US"/>
        </w:rPr>
        <w:object w:dxaOrig="999" w:dyaOrig="279">
          <v:shape id="_x0000_i1037" type="#_x0000_t75" style="width:50.25pt;height:14.25pt" o:ole="">
            <v:imagedata r:id="rId32" o:title=""/>
          </v:shape>
          <o:OLEObject Type="Embed" ProgID="Equation.3" ShapeID="_x0000_i1037" DrawAspect="Content" ObjectID="_1579959422" r:id="rId33"/>
        </w:object>
      </w:r>
      <w:r>
        <w:rPr>
          <w:lang w:val="en-US"/>
        </w:rPr>
        <w:t xml:space="preserve"> [3]  and insert</w:t>
      </w:r>
    </w:p>
    <w:p w:rsidR="00C076EA" w:rsidRDefault="00C076EA" w:rsidP="00C076EA">
      <w:pPr>
        <w:pStyle w:val="Zv-formula"/>
        <w:rPr>
          <w:lang w:val="en-US"/>
        </w:rPr>
      </w:pPr>
      <w:r>
        <w:rPr>
          <w:lang w:val="en-US"/>
        </w:rPr>
        <w:t xml:space="preserve"> </w:t>
      </w:r>
      <w:r>
        <w:rPr>
          <w:lang w:val="en-US"/>
        </w:rPr>
        <w:tab/>
      </w:r>
      <w:r w:rsidRPr="00CE7F0C">
        <w:rPr>
          <w:position w:val="-28"/>
          <w:lang w:val="en-US"/>
        </w:rPr>
        <w:object w:dxaOrig="2439" w:dyaOrig="680">
          <v:shape id="_x0000_i1038" type="#_x0000_t75" style="width:122.25pt;height:33.75pt" o:ole="">
            <v:imagedata r:id="rId34" o:title=""/>
          </v:shape>
          <o:OLEObject Type="Embed" ProgID="Equation.3" ShapeID="_x0000_i1038" DrawAspect="Content" ObjectID="_1579959423" r:id="rId35"/>
        </w:object>
      </w:r>
      <w:r>
        <w:rPr>
          <w:lang w:val="en-US"/>
        </w:rPr>
        <w:tab/>
        <w:t>(2)</w:t>
      </w:r>
    </w:p>
    <w:p w:rsidR="00C076EA" w:rsidRDefault="00C076EA" w:rsidP="00C076EA">
      <w:pPr>
        <w:pStyle w:val="Zv-bodyreportcont"/>
        <w:rPr>
          <w:lang w:val="en-US"/>
        </w:rPr>
      </w:pPr>
      <w:r>
        <w:rPr>
          <w:lang w:val="en-US"/>
        </w:rPr>
        <w:t>in equation  (1),  so after some manipulation one c</w:t>
      </w:r>
      <w:r w:rsidRPr="00B742CA">
        <w:rPr>
          <w:lang w:val="en-US"/>
        </w:rPr>
        <w:t>a</w:t>
      </w:r>
      <w:r>
        <w:rPr>
          <w:lang w:val="en-US"/>
        </w:rPr>
        <w:t>n obtain</w:t>
      </w:r>
    </w:p>
    <w:p w:rsidR="00C076EA" w:rsidRDefault="00C076EA" w:rsidP="00C076EA">
      <w:pPr>
        <w:pStyle w:val="Zv-formula"/>
        <w:rPr>
          <w:lang w:val="en-US"/>
        </w:rPr>
      </w:pPr>
      <w:r>
        <w:rPr>
          <w:lang w:val="en-US"/>
        </w:rPr>
        <w:t xml:space="preserve"> </w:t>
      </w:r>
      <w:r>
        <w:rPr>
          <w:lang w:val="en-US"/>
        </w:rPr>
        <w:tab/>
      </w:r>
      <w:r w:rsidRPr="009D2CB9">
        <w:rPr>
          <w:position w:val="-24"/>
          <w:lang w:val="en-US"/>
        </w:rPr>
        <w:object w:dxaOrig="1939" w:dyaOrig="660">
          <v:shape id="_x0000_i1039" type="#_x0000_t75" style="width:96.75pt;height:33pt" o:ole="">
            <v:imagedata r:id="rId36" o:title=""/>
          </v:shape>
          <o:OLEObject Type="Embed" ProgID="Equation.3" ShapeID="_x0000_i1039" DrawAspect="Content" ObjectID="_1579959424" r:id="rId37"/>
        </w:object>
      </w:r>
      <w:r>
        <w:rPr>
          <w:lang w:val="en-US"/>
        </w:rPr>
        <w:t xml:space="preserve">,   </w:t>
      </w:r>
      <w:r w:rsidRPr="009D2CB9">
        <w:rPr>
          <w:position w:val="-24"/>
          <w:lang w:val="en-US"/>
        </w:rPr>
        <w:object w:dxaOrig="620" w:dyaOrig="620">
          <v:shape id="_x0000_i1040" type="#_x0000_t75" style="width:30.75pt;height:30.75pt" o:ole="">
            <v:imagedata r:id="rId38" o:title=""/>
          </v:shape>
          <o:OLEObject Type="Embed" ProgID="Equation.3" ShapeID="_x0000_i1040" DrawAspect="Content" ObjectID="_1579959425" r:id="rId39"/>
        </w:object>
      </w:r>
      <w:r>
        <w:rPr>
          <w:lang w:val="en-US"/>
        </w:rPr>
        <w:t xml:space="preserve">. </w:t>
      </w:r>
      <w:r>
        <w:rPr>
          <w:lang w:val="en-US"/>
        </w:rPr>
        <w:tab/>
        <w:t>(3)</w:t>
      </w:r>
    </w:p>
    <w:p w:rsidR="00C076EA" w:rsidRDefault="00C076EA" w:rsidP="00C076EA">
      <w:pPr>
        <w:pStyle w:val="Zv-bodyreport"/>
        <w:ind w:firstLine="0"/>
        <w:rPr>
          <w:lang w:val="en-US"/>
        </w:rPr>
      </w:pPr>
    </w:p>
    <w:p w:rsidR="00C076EA" w:rsidRDefault="00C076EA" w:rsidP="00C076EA">
      <w:pPr>
        <w:pStyle w:val="Zv-bodyreportcont"/>
        <w:rPr>
          <w:lang w:val="en-US"/>
        </w:rPr>
      </w:pPr>
      <w:r>
        <w:rPr>
          <w:lang w:val="en-US"/>
        </w:rPr>
        <w:t>This equation  allows to be  transformed  to the following  integral form  by the  ‘constant variation method’</w:t>
      </w:r>
    </w:p>
    <w:p w:rsidR="00C076EA" w:rsidRDefault="00C076EA" w:rsidP="00C076EA">
      <w:pPr>
        <w:pStyle w:val="Zv-formula"/>
        <w:rPr>
          <w:lang w:val="en-US"/>
        </w:rPr>
      </w:pPr>
      <w:r>
        <w:rPr>
          <w:lang w:val="en-US"/>
        </w:rPr>
        <w:t xml:space="preserve"> </w:t>
      </w:r>
      <w:r>
        <w:rPr>
          <w:lang w:val="en-US"/>
        </w:rPr>
        <w:tab/>
      </w:r>
      <w:r w:rsidRPr="0074021D">
        <w:rPr>
          <w:position w:val="-32"/>
          <w:lang w:val="en-US"/>
        </w:rPr>
        <w:object w:dxaOrig="2160" w:dyaOrig="760">
          <v:shape id="_x0000_i1041" type="#_x0000_t75" style="width:108pt;height:38.25pt" o:ole="">
            <v:imagedata r:id="rId40" o:title=""/>
          </v:shape>
          <o:OLEObject Type="Embed" ProgID="Equation.3" ShapeID="_x0000_i1041" DrawAspect="Content" ObjectID="_1579959426" r:id="rId41"/>
        </w:object>
      </w:r>
      <w:r>
        <w:rPr>
          <w:lang w:val="en-US"/>
        </w:rPr>
        <w:t xml:space="preserve"> .</w:t>
      </w:r>
      <w:r>
        <w:rPr>
          <w:lang w:val="en-US"/>
        </w:rPr>
        <w:tab/>
        <w:t>(4)</w:t>
      </w:r>
    </w:p>
    <w:p w:rsidR="00C076EA" w:rsidRDefault="00C076EA" w:rsidP="00C076EA">
      <w:pPr>
        <w:pStyle w:val="Zv-bodyreportcont"/>
        <w:rPr>
          <w:lang w:val="en-US"/>
        </w:rPr>
      </w:pPr>
      <w:r>
        <w:rPr>
          <w:lang w:val="en-US"/>
        </w:rPr>
        <w:t xml:space="preserve">Then  for the  definite  </w:t>
      </w:r>
      <w:r w:rsidRPr="00592D46">
        <w:rPr>
          <w:position w:val="-6"/>
          <w:lang w:val="en-US"/>
        </w:rPr>
        <w:object w:dxaOrig="180" w:dyaOrig="220">
          <v:shape id="_x0000_i1042" type="#_x0000_t75" style="width:9pt;height:11.25pt" o:ole="">
            <v:imagedata r:id="rId42" o:title=""/>
          </v:shape>
          <o:OLEObject Type="Embed" ProgID="Equation.3" ShapeID="_x0000_i1042" DrawAspect="Content" ObjectID="_1579959427" r:id="rId43"/>
        </w:object>
      </w:r>
      <w:r>
        <w:rPr>
          <w:lang w:val="en-US"/>
        </w:rPr>
        <w:t xml:space="preserve">      the absolute  value of the radial electric  field  </w:t>
      </w:r>
      <w:r w:rsidRPr="00E6769C">
        <w:rPr>
          <w:position w:val="-10"/>
          <w:lang w:val="en-US"/>
        </w:rPr>
        <w:object w:dxaOrig="740" w:dyaOrig="340">
          <v:shape id="_x0000_i1043" type="#_x0000_t75" style="width:36.75pt;height:17.25pt" o:ole="">
            <v:imagedata r:id="rId44" o:title=""/>
          </v:shape>
          <o:OLEObject Type="Embed" ProgID="Equation.3" ShapeID="_x0000_i1043" DrawAspect="Content" ObjectID="_1579959428" r:id="rId45"/>
        </w:object>
      </w:r>
      <w:r>
        <w:rPr>
          <w:lang w:val="en-US"/>
        </w:rPr>
        <w:t xml:space="preserve">      increases with </w:t>
      </w:r>
      <w:r w:rsidRPr="00E6769C">
        <w:rPr>
          <w:position w:val="-6"/>
          <w:lang w:val="en-US"/>
        </w:rPr>
        <w:object w:dxaOrig="180" w:dyaOrig="220">
          <v:shape id="_x0000_i1044" type="#_x0000_t75" style="width:9pt;height:11.25pt" o:ole="">
            <v:imagedata r:id="rId46" o:title=""/>
          </v:shape>
          <o:OLEObject Type="Embed" ProgID="Equation.3" ShapeID="_x0000_i1044" DrawAspect="Content" ObjectID="_1579959429" r:id="rId47"/>
        </w:object>
      </w:r>
      <w:r>
        <w:rPr>
          <w:lang w:val="en-US"/>
        </w:rPr>
        <w:t xml:space="preserve">.  Simultaneously </w:t>
      </w:r>
      <w:r w:rsidRPr="00C16BDC">
        <w:rPr>
          <w:lang w:val="en-US"/>
        </w:rPr>
        <w:t xml:space="preserve">for the definite </w:t>
      </w:r>
      <w:r w:rsidRPr="00C16BDC">
        <w:rPr>
          <w:position w:val="-6"/>
          <w:lang w:val="en-US"/>
        </w:rPr>
        <w:object w:dxaOrig="180" w:dyaOrig="220">
          <v:shape id="_x0000_i1045" type="#_x0000_t75" style="width:9pt;height:11.25pt" o:ole="">
            <v:imagedata r:id="rId48" o:title=""/>
          </v:shape>
          <o:OLEObject Type="Embed" ProgID="Equation.3" ShapeID="_x0000_i1045" DrawAspect="Content" ObjectID="_1579959430" r:id="rId49"/>
        </w:object>
      </w:r>
      <w:r>
        <w:rPr>
          <w:lang w:val="en-US"/>
        </w:rPr>
        <w:t xml:space="preserve"> the absolute value of the electric field  </w:t>
      </w:r>
      <w:r w:rsidRPr="00E6769C">
        <w:rPr>
          <w:position w:val="-10"/>
          <w:lang w:val="en-US"/>
        </w:rPr>
        <w:object w:dxaOrig="740" w:dyaOrig="340">
          <v:shape id="_x0000_i1046" type="#_x0000_t75" style="width:36.75pt;height:17.25pt" o:ole="">
            <v:imagedata r:id="rId50" o:title=""/>
          </v:shape>
          <o:OLEObject Type="Embed" ProgID="Equation.3" ShapeID="_x0000_i1046" DrawAspect="Content" ObjectID="_1579959431" r:id="rId51"/>
        </w:object>
      </w:r>
      <w:r>
        <w:rPr>
          <w:lang w:val="en-US"/>
        </w:rPr>
        <w:t xml:space="preserve">   increases by the decrease of the radius </w:t>
      </w:r>
      <w:r w:rsidRPr="00E6769C">
        <w:rPr>
          <w:position w:val="-6"/>
          <w:lang w:val="en-US"/>
        </w:rPr>
        <w:object w:dxaOrig="180" w:dyaOrig="220">
          <v:shape id="_x0000_i1047" type="#_x0000_t75" style="width:9pt;height:11.25pt" o:ole="">
            <v:imagedata r:id="rId52" o:title=""/>
          </v:shape>
          <o:OLEObject Type="Embed" ProgID="Equation.3" ShapeID="_x0000_i1047" DrawAspect="Content" ObjectID="_1579959432" r:id="rId53"/>
        </w:object>
      </w:r>
      <w:r>
        <w:rPr>
          <w:lang w:val="en-US"/>
        </w:rPr>
        <w:t xml:space="preserve">  near the singularity,  what demonstrates the charge separation. As this takes place, the  matter localizes for the most part on the Universe periphery. Therefore  the scenario of the Universe evolution could  be connected  with matter – antimatter  separation [4].</w:t>
      </w:r>
    </w:p>
    <w:p w:rsidR="00C076EA" w:rsidRDefault="00C076EA" w:rsidP="00C076EA">
      <w:pPr>
        <w:pStyle w:val="Zv-TitleReferences-en"/>
        <w:rPr>
          <w:lang w:val="en-US"/>
        </w:rPr>
      </w:pPr>
      <w:r>
        <w:rPr>
          <w:lang w:val="en-US"/>
        </w:rPr>
        <w:t>References</w:t>
      </w:r>
    </w:p>
    <w:p w:rsidR="00C076EA" w:rsidRDefault="00C076EA" w:rsidP="00C076EA">
      <w:pPr>
        <w:pStyle w:val="Zv-References-en"/>
      </w:pPr>
      <w:r>
        <w:t xml:space="preserve">Hawking S.W., Penrose R.//Proc. </w:t>
      </w:r>
      <w:smartTag w:uri="urn:schemas-microsoft-com:office:smarttags" w:element="City">
        <w:smartTag w:uri="urn:schemas-microsoft-com:office:smarttags" w:element="place">
          <w:r>
            <w:t>Roy</w:t>
          </w:r>
        </w:smartTag>
      </w:smartTag>
      <w:r>
        <w:t xml:space="preserve">. Soc. Lond. A.314, 529 – 548 (1970) Printed in </w:t>
      </w:r>
      <w:smartTag w:uri="urn:schemas-microsoft-com:office:smarttags" w:element="country-region">
        <w:smartTag w:uri="urn:schemas-microsoft-com:office:smarttags" w:element="place">
          <w:r>
            <w:t>Great Britain</w:t>
          </w:r>
        </w:smartTag>
      </w:smartTag>
      <w:r>
        <w:t>.</w:t>
      </w:r>
    </w:p>
    <w:p w:rsidR="00C076EA" w:rsidRDefault="00C076EA" w:rsidP="00C076EA">
      <w:pPr>
        <w:pStyle w:val="Zv-References-en"/>
      </w:pPr>
      <w:r>
        <w:t xml:space="preserve">Ritus V.I., Nikishov A.I.// The Quantum Electrodynamics of  Phenomena  in Intense Field. Proc. Lebedev Physical Inst., v.111. </w:t>
      </w:r>
      <w:smartTag w:uri="urn:schemas-microsoft-com:office:smarttags" w:element="City">
        <w:smartTag w:uri="urn:schemas-microsoft-com:office:smarttags" w:element="place">
          <w:r>
            <w:t>Moscow</w:t>
          </w:r>
        </w:smartTag>
      </w:smartTag>
      <w:r>
        <w:t>, Nauka, 1979.</w:t>
      </w:r>
    </w:p>
    <w:p w:rsidR="00C076EA" w:rsidRDefault="00C076EA" w:rsidP="00C076EA">
      <w:pPr>
        <w:pStyle w:val="Zv-References-en"/>
      </w:pPr>
      <w:r>
        <w:t xml:space="preserve"> Gordeev  A.V.// 44-th International Zvenigorod Conference on Plasma Physics and on  Controlled  Fusion, Zvenigorod, 13 – 17 February, 2017. Book of Abstract, p. 232.</w:t>
      </w:r>
    </w:p>
    <w:p w:rsidR="00C076EA" w:rsidRPr="00052AE6" w:rsidRDefault="00C076EA" w:rsidP="00C076EA">
      <w:pPr>
        <w:pStyle w:val="Zv-References-en"/>
      </w:pPr>
      <w:r>
        <w:t>Alfven  H., Elvius A.// Science,  1969,  v.164. N 3882,  p.911.</w:t>
      </w:r>
    </w:p>
    <w:p w:rsidR="00654A7B" w:rsidRDefault="00654A7B">
      <w:pPr>
        <w:rPr>
          <w:lang w:val="en-US"/>
        </w:rPr>
      </w:pPr>
    </w:p>
    <w:sectPr w:rsidR="00654A7B" w:rsidSect="00F95123">
      <w:headerReference w:type="default" r:id="rId54"/>
      <w:footerReference w:type="even" r:id="rId55"/>
      <w:footerReference w:type="default" r:id="rId56"/>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CF2" w:rsidRDefault="00704CF2">
      <w:r>
        <w:separator/>
      </w:r>
    </w:p>
  </w:endnote>
  <w:endnote w:type="continuationSeparator" w:id="0">
    <w:p w:rsidR="00704CF2" w:rsidRDefault="00704C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05E8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05E8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076E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CF2" w:rsidRDefault="00704CF2">
      <w:r>
        <w:separator/>
      </w:r>
    </w:p>
  </w:footnote>
  <w:footnote w:type="continuationSeparator" w:id="0">
    <w:p w:rsidR="00704CF2" w:rsidRDefault="00704C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105E81">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704CF2"/>
    <w:rsid w:val="00043701"/>
    <w:rsid w:val="000C657D"/>
    <w:rsid w:val="000C7078"/>
    <w:rsid w:val="000D76E9"/>
    <w:rsid w:val="000E495B"/>
    <w:rsid w:val="00105E81"/>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6B5B24"/>
    <w:rsid w:val="00704CF2"/>
    <w:rsid w:val="00732A2E"/>
    <w:rsid w:val="007B6378"/>
    <w:rsid w:val="007E06CE"/>
    <w:rsid w:val="00802D35"/>
    <w:rsid w:val="008520F9"/>
    <w:rsid w:val="008850EF"/>
    <w:rsid w:val="00906FF7"/>
    <w:rsid w:val="00B622ED"/>
    <w:rsid w:val="00B9584E"/>
    <w:rsid w:val="00C076EA"/>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C076E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footer" Target="footer1.xml"/><Relationship Id="rId7" Type="http://schemas.openxmlformats.org/officeDocument/2006/relationships/hyperlink" Target="mailto:alexandergordeev@yandex.ru" TargetMode="Externa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footer" Target="footer2.xml"/><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3</TotalTime>
  <Pages>1</Pages>
  <Words>376</Words>
  <Characters>2148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ANALYTICAL PROOF OF THE MATTER – ANTIMATTER UNIVERSE SEPARATION UNDER THE PHASE EXPLOSION</dc:title>
  <dc:creator>sato</dc:creator>
  <cp:lastModifiedBy>Сатунин</cp:lastModifiedBy>
  <cp:revision>1</cp:revision>
  <cp:lastPrinted>1601-01-01T00:00:00Z</cp:lastPrinted>
  <dcterms:created xsi:type="dcterms:W3CDTF">2018-02-12T13:45:00Z</dcterms:created>
  <dcterms:modified xsi:type="dcterms:W3CDTF">2018-02-12T13:49:00Z</dcterms:modified>
</cp:coreProperties>
</file>