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C9" w:rsidRDefault="00EF7DC9" w:rsidP="00EF7DC9">
      <w:pPr>
        <w:pStyle w:val="Zv-Titlereport"/>
      </w:pPr>
      <w:r>
        <w:t>Метод реконструкции спектров мягкого рентгеновского излучения плазмы по спектрограммам, зарегистрированным с помощью пропускающей дифракционоой решетки</w:t>
      </w:r>
    </w:p>
    <w:p w:rsidR="00EF7DC9" w:rsidRDefault="00EF7DC9" w:rsidP="00EF7DC9">
      <w:pPr>
        <w:pStyle w:val="Zv-Author"/>
      </w:pPr>
      <w:r w:rsidRPr="00CA1A52">
        <w:rPr>
          <w:u w:val="single"/>
        </w:rPr>
        <w:t>Кологривов А.А.</w:t>
      </w:r>
      <w:r>
        <w:t>, Рупасов А.А., Склизков Г.В.</w:t>
      </w:r>
    </w:p>
    <w:p w:rsidR="00EF7DC9" w:rsidRPr="00011643" w:rsidRDefault="00EF7DC9" w:rsidP="00EF7DC9">
      <w:pPr>
        <w:pStyle w:val="Zv-Organization"/>
      </w:pPr>
      <w:r>
        <w:t xml:space="preserve">Федеральное государственное бюджетное учреждение науки Физический институт им. П.Н.Лебедева РАН (ФИАН), Москва, Россия, </w:t>
      </w:r>
      <w:hyperlink r:id="rId7" w:history="1">
        <w:r w:rsidRPr="002B5866">
          <w:rPr>
            <w:rStyle w:val="a8"/>
            <w:lang w:val="en-US"/>
          </w:rPr>
          <w:t>kologriv</w:t>
        </w:r>
        <w:r w:rsidRPr="002B5866">
          <w:rPr>
            <w:rStyle w:val="a8"/>
          </w:rPr>
          <w:t>@</w:t>
        </w:r>
        <w:r w:rsidRPr="002B5866">
          <w:rPr>
            <w:rStyle w:val="a8"/>
            <w:lang w:val="en-US"/>
          </w:rPr>
          <w:t>sci</w:t>
        </w:r>
        <w:r w:rsidRPr="002B5866">
          <w:rPr>
            <w:rStyle w:val="a8"/>
          </w:rPr>
          <w:t>.</w:t>
        </w:r>
        <w:r w:rsidRPr="002B5866">
          <w:rPr>
            <w:rStyle w:val="a8"/>
            <w:lang w:val="en-US"/>
          </w:rPr>
          <w:t>lebedev</w:t>
        </w:r>
        <w:r w:rsidRPr="002B5866">
          <w:rPr>
            <w:rStyle w:val="a8"/>
          </w:rPr>
          <w:t>.</w:t>
        </w:r>
        <w:r w:rsidRPr="002B5866">
          <w:rPr>
            <w:rStyle w:val="a8"/>
            <w:lang w:val="en-US"/>
          </w:rPr>
          <w:t>ru</w:t>
        </w:r>
      </w:hyperlink>
    </w:p>
    <w:p w:rsidR="00EF7DC9" w:rsidRPr="00F12D97" w:rsidRDefault="00EF7DC9" w:rsidP="00EF7DC9">
      <w:pPr>
        <w:ind w:firstLine="284"/>
        <w:jc w:val="both"/>
      </w:pPr>
      <w:r w:rsidRPr="004C0F07">
        <w:rPr>
          <w:rStyle w:val="Zv-bodyreport0"/>
        </w:rPr>
        <w:t>Предлагается итерационный метод последовательной вычислительной коррекции вида дифракционной картины</w:t>
      </w:r>
      <w:r>
        <w:rPr>
          <w:rStyle w:val="Zv-bodyreport0"/>
        </w:rPr>
        <w:t xml:space="preserve">, регистрируемой </w:t>
      </w:r>
      <w:r w:rsidRPr="004C0F07">
        <w:rPr>
          <w:rStyle w:val="Zv-bodyreport0"/>
        </w:rPr>
        <w:t>с помощью</w:t>
      </w:r>
      <w:r w:rsidRPr="002E1E4F">
        <w:t xml:space="preserve"> пропускающей </w:t>
      </w:r>
      <w:r>
        <w:t xml:space="preserve">дифракционной </w:t>
      </w:r>
      <w:r w:rsidRPr="002E1E4F">
        <w:t>решётки</w:t>
      </w:r>
      <w:r>
        <w:t xml:space="preserve"> (ПДР),</w:t>
      </w:r>
      <w:r>
        <w:rPr>
          <w:rStyle w:val="Zv-bodyreport0"/>
        </w:rPr>
        <w:t xml:space="preserve">  с целью восстановления </w:t>
      </w:r>
      <w:r w:rsidRPr="004C0F07">
        <w:rPr>
          <w:rStyle w:val="Zv-bodyreport0"/>
        </w:rPr>
        <w:t>истинного спектра излучения источника. Трудность восстановления истинного спектра на основе спектрограмм, полученных</w:t>
      </w:r>
      <w:r>
        <w:rPr>
          <w:rStyle w:val="Zv-bodyreport0"/>
        </w:rPr>
        <w:t xml:space="preserve"> с помощью ПДР</w:t>
      </w:r>
      <w:r w:rsidRPr="002E1E4F">
        <w:t>, состоит в том, что на регистрирующем элементе (напр</w:t>
      </w:r>
      <w:r w:rsidRPr="002E1E4F">
        <w:t>и</w:t>
      </w:r>
      <w:r w:rsidRPr="002E1E4F">
        <w:t>мер, ПЗС-матрице или фотопленке) различные порядки дифракции частично п</w:t>
      </w:r>
      <w:r w:rsidRPr="002E1E4F">
        <w:t>е</w:t>
      </w:r>
      <w:r w:rsidRPr="002E1E4F">
        <w:t>рекрываются, налагаясь друг на друга, что искажает реальный вид спектра. В случае линейчатого спе</w:t>
      </w:r>
      <w:r w:rsidRPr="002E1E4F">
        <w:t>к</w:t>
      </w:r>
      <w:r w:rsidRPr="002E1E4F">
        <w:t>тра это не создает особых проблем, так как строгая периодическая повторяемость (ввиду лине</w:t>
      </w:r>
      <w:r w:rsidRPr="002E1E4F">
        <w:t>й</w:t>
      </w:r>
      <w:r w:rsidRPr="002E1E4F">
        <w:t xml:space="preserve">ности дисперсии) одних и тех же линий в разных порядках дифракции хорошо </w:t>
      </w:r>
      <w:r>
        <w:t>видна</w:t>
      </w:r>
      <w:r w:rsidRPr="002E1E4F">
        <w:t>, так что их идентификация не вызывает затруднений. В случае же непрерывного спе</w:t>
      </w:r>
      <w:r w:rsidRPr="002E1E4F">
        <w:t>к</w:t>
      </w:r>
      <w:r w:rsidRPr="002E1E4F">
        <w:t xml:space="preserve">тра разделение вклада различных порядков дифракции в </w:t>
      </w:r>
      <w:r>
        <w:t>регистрируемую спектрограмму</w:t>
      </w:r>
      <w:r w:rsidRPr="002E1E4F">
        <w:t xml:space="preserve"> представляет с</w:t>
      </w:r>
      <w:r w:rsidRPr="002E1E4F">
        <w:t>о</w:t>
      </w:r>
      <w:r w:rsidRPr="002E1E4F">
        <w:t xml:space="preserve">бой специальную задачу. </w:t>
      </w:r>
      <w:r>
        <w:t>Для р</w:t>
      </w:r>
      <w:r w:rsidRPr="002E1E4F">
        <w:t>ешени</w:t>
      </w:r>
      <w:r>
        <w:t>я</w:t>
      </w:r>
      <w:r w:rsidRPr="002E1E4F">
        <w:t xml:space="preserve"> этой задачи </w:t>
      </w:r>
      <w:r>
        <w:t>был разработан итерационный алгоритм для ПДР с типичными знач</w:t>
      </w:r>
      <w:r>
        <w:t>е</w:t>
      </w:r>
      <w:r>
        <w:t xml:space="preserve">ниями отношения ширины прозрачной части периода к величине периода </w:t>
      </w:r>
      <w:r w:rsidRPr="006D5CC7">
        <w:rPr>
          <w:i/>
        </w:rPr>
        <w:t>δ/</w:t>
      </w:r>
      <w:r w:rsidRPr="006D5CC7">
        <w:rPr>
          <w:i/>
          <w:lang w:val="en-US"/>
        </w:rPr>
        <w:t>d</w:t>
      </w:r>
      <w:r w:rsidRPr="001C23F7">
        <w:t xml:space="preserve"> = 1/2</w:t>
      </w:r>
      <w:r w:rsidRPr="00AC3B62">
        <w:t xml:space="preserve">, 1/3 </w:t>
      </w:r>
      <w:r>
        <w:t>и 1/4.</w:t>
      </w:r>
    </w:p>
    <w:p w:rsidR="00EF7DC9" w:rsidRPr="006D5CC7" w:rsidRDefault="00EF7DC9" w:rsidP="00EF7DC9">
      <w:pPr>
        <w:ind w:firstLine="284"/>
        <w:jc w:val="both"/>
      </w:pPr>
      <w:r>
        <w:t>Вначале решалась прямая задача: расчёт</w:t>
      </w:r>
      <w:r w:rsidRPr="00E41B61">
        <w:t xml:space="preserve"> спектральной интенсивности излуч</w:t>
      </w:r>
      <w:r w:rsidRPr="00E41B61">
        <w:t>е</w:t>
      </w:r>
      <w:r w:rsidRPr="00E41B61">
        <w:t>ния, регистрируемого в различных порядках дифракции для</w:t>
      </w:r>
      <w:r>
        <w:t xml:space="preserve"> упомянутых ПДР (прямая задача).</w:t>
      </w:r>
      <w:r w:rsidRPr="00E41B61">
        <w:t xml:space="preserve"> Вычислены погрешности, возникающие вследствие пренебрежения высшими порядками д</w:t>
      </w:r>
      <w:r w:rsidRPr="00E41B61">
        <w:t>и</w:t>
      </w:r>
      <w:r w:rsidRPr="00E41B61">
        <w:t>фракции. Определены зависимости вида регистрируемой спектрограммы от количества учит</w:t>
      </w:r>
      <w:r w:rsidRPr="00E41B61">
        <w:t>ы</w:t>
      </w:r>
      <w:r w:rsidRPr="00E41B61">
        <w:t xml:space="preserve">ваемых порядков дифракции. </w:t>
      </w:r>
      <w:r>
        <w:t xml:space="preserve">Далее было проведено тестирование работоспособности разработанного алгоритма. Задавался модельный двухтемпературный спектр, вычислялось спектральное распределение после прохождения сквозь ПДР, и с помощью данного алгоритма восстанавливался вид спектра (обратная задача). Оказалось, что после 6–12 итераций вид реконструированного спектра совпадал с наперёд заданным с достаточной точностью. Число требуемых для реконструкции спектра итераций зависит от параметра </w:t>
      </w:r>
      <w:r w:rsidRPr="006D5CC7">
        <w:rPr>
          <w:i/>
        </w:rPr>
        <w:t>δ/</w:t>
      </w:r>
      <w:r w:rsidRPr="006D5CC7">
        <w:rPr>
          <w:i/>
          <w:lang w:val="en-US"/>
        </w:rPr>
        <w:t>d</w:t>
      </w:r>
      <w:r>
        <w:rPr>
          <w:i/>
        </w:rPr>
        <w:t>.</w:t>
      </w:r>
      <w:r>
        <w:t xml:space="preserve"> Наименьшее число итераций требуется для ПДР с </w:t>
      </w:r>
      <w:r w:rsidRPr="001C23F7">
        <w:t>δ/</w:t>
      </w:r>
      <w:r w:rsidRPr="001C23F7">
        <w:rPr>
          <w:i/>
          <w:lang w:val="en-US"/>
        </w:rPr>
        <w:t>d</w:t>
      </w:r>
      <w:r>
        <w:rPr>
          <w:i/>
        </w:rPr>
        <w:t xml:space="preserve"> </w:t>
      </w:r>
      <w:r>
        <w:t xml:space="preserve">= 1/2. </w:t>
      </w:r>
    </w:p>
    <w:p w:rsidR="00EF7DC9" w:rsidRPr="004E21D9" w:rsidRDefault="00EF7DC9" w:rsidP="00EF7DC9">
      <w:pPr>
        <w:pStyle w:val="Zv-bodyreport"/>
      </w:pPr>
      <w:r>
        <w:t>Оказалось, что с</w:t>
      </w:r>
      <w:r w:rsidRPr="001C23F7">
        <w:t>корость сходимости и точность восстановления спектра в достаточно широких пределах практически не зависят от выбора начального приближения</w:t>
      </w:r>
      <w:r>
        <w:t>.</w:t>
      </w:r>
      <w:r w:rsidRPr="00E41B61">
        <w:t xml:space="preserve"> </w:t>
      </w:r>
      <w:r w:rsidRPr="004E21D9">
        <w:t>Показано, что метод может применяться для восстановления как спектров, имеющих вид плавно изм</w:t>
      </w:r>
      <w:r w:rsidRPr="004E21D9">
        <w:t>е</w:t>
      </w:r>
      <w:r w:rsidRPr="004E21D9">
        <w:t>няющихся зависимостей интенсивности излучения от длины волны, так и спектров, у которых эта зависимость имеет дополнительные ма</w:t>
      </w:r>
      <w:r w:rsidRPr="004E21D9">
        <w:t>к</w:t>
      </w:r>
      <w:r w:rsidRPr="004E21D9">
        <w:t>симумы.</w:t>
      </w:r>
    </w:p>
    <w:p w:rsidR="00EF7DC9" w:rsidRPr="00EF7DC9" w:rsidRDefault="00EF7DC9" w:rsidP="00EF7DC9">
      <w:pPr>
        <w:pStyle w:val="Zv-bodyreport"/>
      </w:pPr>
      <w:r w:rsidRPr="004E21D9">
        <w:t>Рассмотренный метод может найти применение для спектральных измер</w:t>
      </w:r>
      <w:r w:rsidRPr="004E21D9">
        <w:t>е</w:t>
      </w:r>
      <w:r w:rsidRPr="004E21D9">
        <w:t>ний (включая абсолютные измерения по энергии) мягкого рентгеновского излучения, генерируемого в лазерной плазме, электрических разрядах и в экспериментах по управляемому те</w:t>
      </w:r>
      <w:r w:rsidRPr="004E21D9">
        <w:t>р</w:t>
      </w:r>
      <w:r w:rsidRPr="004E21D9">
        <w:t xml:space="preserve">моядерному синтезу. </w:t>
      </w:r>
    </w:p>
    <w:p w:rsidR="00EF7DC9" w:rsidRPr="00523BCB" w:rsidRDefault="00EF7DC9" w:rsidP="00EF7DC9">
      <w:pPr>
        <w:pStyle w:val="Zv-bodyreport"/>
        <w:spacing w:before="120"/>
      </w:pPr>
      <w:r>
        <w:t>Работа выполнена при поддержке Российского фонда фундаментальных исследований, грант</w:t>
      </w:r>
      <w:r w:rsidRPr="00523BCB">
        <w:t xml:space="preserve"> </w:t>
      </w:r>
      <w:r>
        <w:t>РФФИ 16-02-00302.</w:t>
      </w:r>
    </w:p>
    <w:p w:rsidR="004B72AA" w:rsidRPr="00EF7DC9" w:rsidRDefault="004B72AA" w:rsidP="000D76E9"/>
    <w:sectPr w:rsidR="004B72AA" w:rsidRPr="00EF7DC9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699" w:rsidRDefault="00E45699">
      <w:r>
        <w:separator/>
      </w:r>
    </w:p>
  </w:endnote>
  <w:endnote w:type="continuationSeparator" w:id="0">
    <w:p w:rsidR="00E45699" w:rsidRDefault="00E4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192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192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7DC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699" w:rsidRDefault="00E45699">
      <w:r>
        <w:separator/>
      </w:r>
    </w:p>
  </w:footnote>
  <w:footnote w:type="continuationSeparator" w:id="0">
    <w:p w:rsidR="00E45699" w:rsidRDefault="00E45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F7DC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4192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69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41923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45699"/>
    <w:rsid w:val="00E7021A"/>
    <w:rsid w:val="00E87733"/>
    <w:rsid w:val="00ED6260"/>
    <w:rsid w:val="00EF7DC9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C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F7DC9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EF7D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logriv@sci.lebede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РЕКОНСТРУКЦИИ СПЕКТРОВ МЯГКОГО РЕНТГЕНОВСКОГО ИЗЛУЧЕНИЯ ПЛАЗМЫ ПО СПЕКТРОГРАММАМ, ЗАРЕГИСТРИРОВАННЫМ С ПОМОЩЬЮ ПРОПУСКАЮЩЕЙ ДИФРАКЦИОНООЙ РЕШЕТКИ</dc:title>
  <dc:creator>sato</dc:creator>
  <cp:lastModifiedBy>Сатунин</cp:lastModifiedBy>
  <cp:revision>1</cp:revision>
  <cp:lastPrinted>1601-01-01T00:00:00Z</cp:lastPrinted>
  <dcterms:created xsi:type="dcterms:W3CDTF">2018-02-05T15:50:00Z</dcterms:created>
  <dcterms:modified xsi:type="dcterms:W3CDTF">2018-02-05T15:52:00Z</dcterms:modified>
</cp:coreProperties>
</file>