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10" w:rsidRPr="00F55723" w:rsidRDefault="00E83510" w:rsidP="00E83510">
      <w:pPr>
        <w:pStyle w:val="Zv-Titlereport"/>
      </w:pPr>
      <w:r w:rsidRPr="00F55723">
        <w:t>МНОГОКАНАЛЬНАЯ СИСТЕМА РЕГИСТРАЦИИ И СБОРА ДАННЫХ ДИАГНОСТИК ПЛАЗМЫ УСТАНОВКИ ИТЭР</w:t>
      </w:r>
    </w:p>
    <w:p w:rsidR="00E83510" w:rsidRPr="00E83510" w:rsidRDefault="00E83510" w:rsidP="00E83510">
      <w:pPr>
        <w:pStyle w:val="Zv-Author"/>
        <w:rPr>
          <w:vertAlign w:val="superscript"/>
        </w:rPr>
      </w:pPr>
      <w:r w:rsidRPr="00CA0777">
        <w:t>Николаева Д.В</w:t>
      </w:r>
      <w:r>
        <w:t>.</w:t>
      </w:r>
      <w:r w:rsidRPr="00CA0777">
        <w:t>, Зубарев П.В., Миронова</w:t>
      </w:r>
      <w:r w:rsidRPr="00F84E12">
        <w:t xml:space="preserve"> </w:t>
      </w:r>
      <w:r w:rsidRPr="00CA0777">
        <w:t>Е.Ю., Портоне С.С., Семенов И.Б., Толоконский</w:t>
      </w:r>
      <w:r>
        <w:t xml:space="preserve"> А.О.</w:t>
      </w:r>
      <w:r w:rsidRPr="00E83510">
        <w:rPr>
          <w:vertAlign w:val="superscript"/>
        </w:rPr>
        <w:t>2</w:t>
      </w:r>
      <w:r w:rsidRPr="00CA0777">
        <w:t>, Хильченко</w:t>
      </w:r>
      <w:r>
        <w:t xml:space="preserve"> А.Д.</w:t>
      </w:r>
      <w:r w:rsidRPr="00E83510">
        <w:rPr>
          <w:vertAlign w:val="superscript"/>
        </w:rPr>
        <w:t>1</w:t>
      </w:r>
    </w:p>
    <w:p w:rsidR="00E83510" w:rsidRDefault="00E83510" w:rsidP="00E83510">
      <w:pPr>
        <w:pStyle w:val="Zv-Organization"/>
      </w:pPr>
      <w:r>
        <w:t>ЧУ ГК Росатом «Проектный Центр ИТЭР», г. Москва, Россия</w:t>
      </w:r>
      <w:r w:rsidRPr="00CD403D">
        <w:br/>
      </w:r>
      <w:r w:rsidRPr="00E83510">
        <w:rPr>
          <w:vertAlign w:val="superscript"/>
        </w:rPr>
        <w:t>1</w:t>
      </w:r>
      <w:r>
        <w:t>ИЯФ СО РАН им. Г.И. Будкера, г. Новосибирск, Россия</w:t>
      </w:r>
      <w:r w:rsidRPr="00CD403D">
        <w:br/>
      </w:r>
      <w:r w:rsidRPr="00E83510">
        <w:rPr>
          <w:vertAlign w:val="superscript"/>
        </w:rPr>
        <w:t>2</w:t>
      </w:r>
      <w:r>
        <w:t>НИЯУ МИФИ, г. Москва, Россия</w:t>
      </w:r>
    </w:p>
    <w:p w:rsidR="00E83510" w:rsidRDefault="00E83510" w:rsidP="00E83510">
      <w:pPr>
        <w:pStyle w:val="Zv-bodyreport"/>
      </w:pPr>
      <w:r>
        <w:t>Установка</w:t>
      </w:r>
      <w:r w:rsidRPr="00B749B4">
        <w:t xml:space="preserve"> </w:t>
      </w:r>
      <w:r>
        <w:t>ИТЭР</w:t>
      </w:r>
      <w:r w:rsidRPr="00B749B4">
        <w:t xml:space="preserve"> </w:t>
      </w:r>
      <w:r>
        <w:t>включает в себя более 200 подсистем, в том числе диагностических систем. Многие диагностические системы содержат большое число измерительных каналов (около 50), сигнал по которым должен быть передан на большое расстояние от датчика из зоны, подверженной радиации (</w:t>
      </w:r>
      <w:r>
        <w:rPr>
          <w:lang w:val="en-GB"/>
        </w:rPr>
        <w:t>Port</w:t>
      </w:r>
      <w:r>
        <w:t xml:space="preserve"> </w:t>
      </w:r>
      <w:r>
        <w:rPr>
          <w:lang w:val="en-GB"/>
        </w:rPr>
        <w:t>Cell</w:t>
      </w:r>
      <w:r>
        <w:t xml:space="preserve">), до системы управления диагностики в Диагностическое здание. </w:t>
      </w:r>
      <w:r w:rsidRPr="00371BBC">
        <w:t>Эти многоканальные д</w:t>
      </w:r>
      <w:r>
        <w:t>иагностические системы создают</w:t>
      </w:r>
      <w:r w:rsidRPr="00371BBC">
        <w:t xml:space="preserve"> поток данных более 100 Гбит/с, который в реальном времени должен </w:t>
      </w:r>
      <w:r>
        <w:t>быть передан в систему управления плазмой</w:t>
      </w:r>
      <w:r w:rsidRPr="00371BBC">
        <w:t>.</w:t>
      </w:r>
    </w:p>
    <w:p w:rsidR="00E83510" w:rsidRDefault="00E83510" w:rsidP="00E83510">
      <w:pPr>
        <w:pStyle w:val="Zv-bodyreport"/>
      </w:pPr>
      <w:r>
        <w:t>Для подобных диагностических систем разработана универсальная многоканальная система регистрации и сбора данных.</w:t>
      </w:r>
      <w:r w:rsidRPr="00CA0777">
        <w:t xml:space="preserve"> </w:t>
      </w:r>
      <w:r w:rsidRPr="00371BBC">
        <w:t>Система регистрации разделена на две части</w:t>
      </w:r>
      <w:r>
        <w:t xml:space="preserve"> – на выносную </w:t>
      </w:r>
      <w:r w:rsidRPr="00371BBC">
        <w:t xml:space="preserve">часть, расположенную на минимальном расстоянии от детекторных блоков в помещении Port Сell в условиях сильных радиационных и электромагнитных </w:t>
      </w:r>
      <w:r>
        <w:t xml:space="preserve">полей, и основную </w:t>
      </w:r>
      <w:r w:rsidRPr="00371BBC">
        <w:t>часть, расположенную в помещении Диагностического здания с нормальными условиями эксплуатации.</w:t>
      </w:r>
      <w:r w:rsidRPr="00CA0777">
        <w:t xml:space="preserve"> </w:t>
      </w:r>
      <w:r>
        <w:t>Архитектура системы регистрации представлена на рис. 1.</w:t>
      </w:r>
    </w:p>
    <w:p w:rsidR="00E83510" w:rsidRDefault="00E83510" w:rsidP="00E83510">
      <w:pPr>
        <w:ind w:firstLine="283"/>
        <w:jc w:val="center"/>
      </w:pPr>
      <w:r>
        <w:rPr>
          <w:noProof/>
        </w:rPr>
        <w:drawing>
          <wp:inline distT="0" distB="0" distL="0" distR="0">
            <wp:extent cx="1724025" cy="1905000"/>
            <wp:effectExtent l="19050" t="0" r="9525" b="0"/>
            <wp:docPr id="1" name="Рисунок 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10" w:rsidRPr="00E83510" w:rsidRDefault="00E83510" w:rsidP="00E83510">
      <w:pPr>
        <w:ind w:firstLine="283"/>
        <w:jc w:val="center"/>
        <w:rPr>
          <w:sz w:val="22"/>
          <w:szCs w:val="22"/>
        </w:rPr>
      </w:pPr>
      <w:r w:rsidRPr="00E83510">
        <w:rPr>
          <w:sz w:val="22"/>
          <w:szCs w:val="22"/>
        </w:rPr>
        <w:t>Рис. 1 Архитектура системы регистрации и сбора данных</w:t>
      </w:r>
    </w:p>
    <w:p w:rsidR="00E83510" w:rsidRPr="00E83510" w:rsidRDefault="00E83510" w:rsidP="00E83510">
      <w:r>
        <w:t>Выносная часть регистрирует сигнал, оцифровывает его и передает по оптическим линиям связи в цифровую часть на модули обработки данных.</w:t>
      </w:r>
      <w:r w:rsidRPr="00CA0777">
        <w:t xml:space="preserve"> </w:t>
      </w:r>
      <w:r>
        <w:t xml:space="preserve">Далее данные передаются через модуль </w:t>
      </w:r>
      <w:r w:rsidRPr="00391B4C">
        <w:t xml:space="preserve">National </w:t>
      </w:r>
      <w:r>
        <w:t>Instruments FlexRIO PXIe-7966R/</w:t>
      </w:r>
      <w:r w:rsidRPr="00391B4C">
        <w:t>5761</w:t>
      </w:r>
      <w:r>
        <w:t xml:space="preserve"> в промышленный компьютер для последующей обработки и передачи в центральную систему управления установки ИТЭР.</w:t>
      </w:r>
      <w:r w:rsidRPr="00CA0777">
        <w:t xml:space="preserve"> </w:t>
      </w:r>
      <w:r w:rsidRPr="00834D10">
        <w:t>Доклад представляет интерес для физиков и инженеров, работающих в области управляемого термоядерного синтеза.</w:t>
      </w:r>
      <w:r w:rsidRPr="00CA0777">
        <w:t xml:space="preserve"> </w:t>
      </w:r>
    </w:p>
    <w:p w:rsidR="00E83510" w:rsidRPr="00CA0777" w:rsidRDefault="00E83510" w:rsidP="00E83510">
      <w:pPr>
        <w:pStyle w:val="Zv-bodyreport"/>
      </w:pPr>
      <w:r>
        <w:t>Работа выполнялась по Контракту с Государственной Корпорацией Росатом № Н.4а.241.9Б.17.1001</w:t>
      </w:r>
    </w:p>
    <w:p w:rsidR="00E83510" w:rsidRPr="0003044F" w:rsidRDefault="00E83510" w:rsidP="00E83510">
      <w:pPr>
        <w:pStyle w:val="Zv-TitleReferences-ru"/>
      </w:pPr>
      <w:r w:rsidRPr="0003044F">
        <w:t>Литература.</w:t>
      </w:r>
    </w:p>
    <w:p w:rsidR="00E83510" w:rsidRPr="009E286D" w:rsidRDefault="00E83510" w:rsidP="00E83510">
      <w:pPr>
        <w:pStyle w:val="Zv-References-ru"/>
        <w:numPr>
          <w:ilvl w:val="0"/>
          <w:numId w:val="1"/>
        </w:numPr>
        <w:rPr>
          <w:lang w:val="en-US"/>
        </w:rPr>
      </w:pPr>
      <w:r w:rsidRPr="009E286D">
        <w:rPr>
          <w:lang w:val="en-US"/>
        </w:rPr>
        <w:t>Journeaux J.-Y. // PCDH – Plant Control Design Handbook IO. 2013</w:t>
      </w:r>
    </w:p>
    <w:p w:rsidR="00E83510" w:rsidRPr="009E286D" w:rsidRDefault="00E83510" w:rsidP="00E83510">
      <w:pPr>
        <w:pStyle w:val="Zv-References-ru"/>
        <w:numPr>
          <w:ilvl w:val="0"/>
          <w:numId w:val="1"/>
        </w:numPr>
        <w:rPr>
          <w:lang w:val="en-US"/>
        </w:rPr>
      </w:pPr>
      <w:r w:rsidRPr="009E286D">
        <w:rPr>
          <w:lang w:val="en-US"/>
        </w:rPr>
        <w:t>Bertalot L. // System Design Description (DDD) 55.B2 Vertical Neutron Camera. 2014</w:t>
      </w:r>
    </w:p>
    <w:p w:rsidR="00E83510" w:rsidRPr="009E286D" w:rsidRDefault="00E83510" w:rsidP="00E83510">
      <w:pPr>
        <w:pStyle w:val="Zv-References-ru"/>
        <w:numPr>
          <w:ilvl w:val="0"/>
          <w:numId w:val="1"/>
        </w:numPr>
        <w:rPr>
          <w:lang w:val="en-US"/>
        </w:rPr>
      </w:pPr>
      <w:r w:rsidRPr="009E286D">
        <w:rPr>
          <w:lang w:val="en-US"/>
        </w:rPr>
        <w:t>Bertalot L. // Annex B for 55.B2 Vertical Neutron Camera Amendment #5.5.P1.RF.11 VNC. 2014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33" w:rsidRDefault="00510733">
      <w:r>
        <w:separator/>
      </w:r>
    </w:p>
  </w:endnote>
  <w:endnote w:type="continuationSeparator" w:id="0">
    <w:p w:rsidR="00510733" w:rsidRDefault="0051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051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051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351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33" w:rsidRDefault="00510733">
      <w:r>
        <w:separator/>
      </w:r>
    </w:p>
  </w:footnote>
  <w:footnote w:type="continuationSeparator" w:id="0">
    <w:p w:rsidR="00510733" w:rsidRDefault="00510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8351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8051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073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0733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8051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3510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51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E835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3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МНОГОКАНАЛЬНАЯ СИСТЕМА РЕГИСТРАЦИИ И СБОРА ДАННЫХ ДИАГНОСТИК ПЛАЗМЫ УСТАНОВКИ ИТЭР</dc:title>
  <dc:creator>sato</dc:creator>
  <cp:lastModifiedBy>Сатунин</cp:lastModifiedBy>
  <cp:revision>1</cp:revision>
  <cp:lastPrinted>1601-01-01T00:00:00Z</cp:lastPrinted>
  <dcterms:created xsi:type="dcterms:W3CDTF">2018-03-01T14:30:00Z</dcterms:created>
  <dcterms:modified xsi:type="dcterms:W3CDTF">2018-03-01T14:34:00Z</dcterms:modified>
</cp:coreProperties>
</file>