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641" w:rsidRDefault="00AB5641" w:rsidP="00AB5641">
      <w:pPr>
        <w:pStyle w:val="Zv-Titlereport"/>
        <w:rPr>
          <w:i/>
          <w:iCs/>
        </w:rPr>
      </w:pPr>
      <w:bookmarkStart w:id="0" w:name="_Toc435091269"/>
      <w:r>
        <w:t>ДИАГНОСТИКА АКТИВНАЯ СПЕКТРОСКОПИЯ НА ТОКАМАКЕ Т-10</w:t>
      </w:r>
    </w:p>
    <w:bookmarkEnd w:id="0"/>
    <w:p w:rsidR="00AB5641" w:rsidRPr="00FB0DFD" w:rsidRDefault="00AB5641" w:rsidP="00AB5641">
      <w:pPr>
        <w:pStyle w:val="Zv-Author"/>
        <w:rPr>
          <w:rFonts w:eastAsia="+mn-ea"/>
        </w:rPr>
      </w:pPr>
      <w:r w:rsidRPr="002D3032">
        <w:rPr>
          <w:rFonts w:eastAsia="+mn-ea"/>
          <w:u w:val="single"/>
        </w:rPr>
        <w:t>Серов</w:t>
      </w:r>
      <w:r w:rsidRPr="001373F5">
        <w:rPr>
          <w:rFonts w:eastAsia="+mn-ea"/>
          <w:u w:val="single"/>
        </w:rPr>
        <w:t xml:space="preserve"> </w:t>
      </w:r>
      <w:r w:rsidRPr="002D3032">
        <w:rPr>
          <w:rFonts w:eastAsia="+mn-ea"/>
          <w:u w:val="single"/>
        </w:rPr>
        <w:t>С</w:t>
      </w:r>
      <w:r w:rsidRPr="009E1336">
        <w:rPr>
          <w:rFonts w:eastAsia="+mn-ea"/>
          <w:u w:val="single"/>
        </w:rPr>
        <w:t>.</w:t>
      </w:r>
      <w:r w:rsidRPr="002D3032">
        <w:rPr>
          <w:rFonts w:eastAsia="+mn-ea"/>
          <w:u w:val="single"/>
        </w:rPr>
        <w:t>В</w:t>
      </w:r>
      <w:r w:rsidRPr="009E1336">
        <w:rPr>
          <w:rFonts w:eastAsia="+mn-ea"/>
          <w:u w:val="single"/>
        </w:rPr>
        <w:t>.</w:t>
      </w:r>
      <w:r w:rsidRPr="009E1336">
        <w:rPr>
          <w:rFonts w:eastAsia="+mn-ea"/>
        </w:rPr>
        <w:t xml:space="preserve">, </w:t>
      </w:r>
      <w:r>
        <w:rPr>
          <w:rFonts w:eastAsia="+mn-ea"/>
        </w:rPr>
        <w:t>Тугаринов</w:t>
      </w:r>
      <w:r w:rsidRPr="001373F5">
        <w:rPr>
          <w:rFonts w:eastAsia="+mn-ea"/>
        </w:rPr>
        <w:t xml:space="preserve"> </w:t>
      </w:r>
      <w:r>
        <w:rPr>
          <w:rFonts w:eastAsia="+mn-ea"/>
        </w:rPr>
        <w:t>С</w:t>
      </w:r>
      <w:r w:rsidRPr="009E1336">
        <w:rPr>
          <w:rFonts w:eastAsia="+mn-ea"/>
        </w:rPr>
        <w:t>.</w:t>
      </w:r>
      <w:r>
        <w:rPr>
          <w:rFonts w:eastAsia="+mn-ea"/>
        </w:rPr>
        <w:t>Н</w:t>
      </w:r>
      <w:r w:rsidRPr="009E1336">
        <w:rPr>
          <w:rFonts w:eastAsia="+mn-ea"/>
        </w:rPr>
        <w:t xml:space="preserve">., </w:t>
      </w:r>
      <w:r w:rsidRPr="0085489D">
        <w:rPr>
          <w:rFonts w:eastAsia="+mn-ea"/>
        </w:rPr>
        <w:t>Ключников</w:t>
      </w:r>
      <w:r w:rsidRPr="001373F5">
        <w:rPr>
          <w:rFonts w:eastAsia="+mn-ea"/>
        </w:rPr>
        <w:t xml:space="preserve"> </w:t>
      </w:r>
      <w:r w:rsidRPr="0085489D">
        <w:rPr>
          <w:rFonts w:eastAsia="+mn-ea"/>
        </w:rPr>
        <w:t>Л</w:t>
      </w:r>
      <w:r w:rsidRPr="009E1336">
        <w:rPr>
          <w:rFonts w:eastAsia="+mn-ea"/>
        </w:rPr>
        <w:t>.</w:t>
      </w:r>
      <w:r w:rsidRPr="0085489D">
        <w:rPr>
          <w:rFonts w:eastAsia="+mn-ea"/>
        </w:rPr>
        <w:t>А</w:t>
      </w:r>
      <w:r w:rsidRPr="009E1336">
        <w:rPr>
          <w:rFonts w:eastAsia="+mn-ea"/>
        </w:rPr>
        <w:t>.</w:t>
      </w:r>
      <w:r w:rsidRPr="009E1336">
        <w:rPr>
          <w:rFonts w:eastAsia="+mn-ea"/>
          <w:vertAlign w:val="superscript"/>
        </w:rPr>
        <w:t>1</w:t>
      </w:r>
      <w:r w:rsidRPr="009E1336">
        <w:rPr>
          <w:rFonts w:eastAsia="+mn-ea"/>
        </w:rPr>
        <w:t xml:space="preserve">, </w:t>
      </w:r>
      <w:r>
        <w:rPr>
          <w:rFonts w:eastAsia="+mn-ea"/>
        </w:rPr>
        <w:t>Крупин</w:t>
      </w:r>
      <w:r w:rsidRPr="001373F5">
        <w:rPr>
          <w:rFonts w:eastAsia="+mn-ea"/>
        </w:rPr>
        <w:t xml:space="preserve"> </w:t>
      </w:r>
      <w:r>
        <w:rPr>
          <w:rFonts w:eastAsia="+mn-ea"/>
        </w:rPr>
        <w:t>В</w:t>
      </w:r>
      <w:r w:rsidRPr="009E1336">
        <w:rPr>
          <w:rFonts w:eastAsia="+mn-ea"/>
        </w:rPr>
        <w:t>.</w:t>
      </w:r>
      <w:r>
        <w:rPr>
          <w:rFonts w:eastAsia="+mn-ea"/>
        </w:rPr>
        <w:t>А</w:t>
      </w:r>
      <w:r w:rsidRPr="009E1336">
        <w:rPr>
          <w:rFonts w:eastAsia="+mn-ea"/>
        </w:rPr>
        <w:t>.</w:t>
      </w:r>
      <w:r w:rsidRPr="009E1336">
        <w:rPr>
          <w:rFonts w:eastAsia="+mn-ea"/>
          <w:vertAlign w:val="superscript"/>
        </w:rPr>
        <w:t>1</w:t>
      </w:r>
    </w:p>
    <w:p w:rsidR="00AB5641" w:rsidRPr="00AB5641" w:rsidRDefault="00AB5641" w:rsidP="00AB5641">
      <w:pPr>
        <w:pStyle w:val="Zv-Organization"/>
      </w:pPr>
      <w:r w:rsidRPr="00AB5641">
        <w:t>АО «ГНЦ РФ ТРИНИТИ», г. Москва, г. Троицк,</w:t>
      </w:r>
      <w:r w:rsidRPr="00AB5641">
        <w:br/>
      </w:r>
      <w:r w:rsidRPr="005C6200">
        <w:rPr>
          <w:vertAlign w:val="superscript"/>
        </w:rPr>
        <w:t>1</w:t>
      </w:r>
      <w:r w:rsidRPr="00AB5641">
        <w:t xml:space="preserve">НИЦ «Курчатовский институт», г. Москва </w:t>
      </w:r>
    </w:p>
    <w:p w:rsidR="00AB5641" w:rsidRPr="00AB5641" w:rsidRDefault="005206E7" w:rsidP="00AB5641">
      <w:pPr>
        <w:pStyle w:val="Zv-bodyreport"/>
      </w:pPr>
      <w:r>
        <w:rPr>
          <w:noProof/>
          <w:lang w:eastAsia="en-US"/>
        </w:rPr>
        <w:pict>
          <v:shapetype id="_x0000_t202" coordsize="21600,21600" o:spt="202" path="m,l,21600r21600,l21600,xe">
            <v:stroke joinstyle="miter"/>
            <v:path gradientshapeok="t" o:connecttype="rect"/>
          </v:shapetype>
          <v:shape id="_x0000_s1027" type="#_x0000_t202" style="position:absolute;left:0;text-align:left;margin-left:273.3pt;margin-top:283.4pt;width:145.5pt;height:105pt;z-index:251660288;mso-width-relative:margin;mso-height-relative:margin" stroked="f">
            <v:textbox>
              <w:txbxContent>
                <w:p w:rsidR="00AB5641" w:rsidRDefault="00AB5641">
                  <w:pPr>
                    <w:rPr>
                      <w:lang w:val="en-US"/>
                    </w:rPr>
                  </w:pPr>
                  <w:r w:rsidRPr="00AB5641">
                    <w:t>Рис. 1.</w:t>
                  </w:r>
                </w:p>
                <w:p w:rsidR="00AB5641" w:rsidRPr="00AB5641" w:rsidRDefault="00AB5641">
                  <w:pPr>
                    <w:rPr>
                      <w:lang w:val="en-US"/>
                    </w:rPr>
                  </w:pPr>
                </w:p>
                <w:p w:rsidR="00AB5641" w:rsidRPr="00AB5641" w:rsidRDefault="00AB5641">
                  <w:r w:rsidRPr="00AB5641">
                    <w:t>Зависимость профиля ионной температуры от плотности плазмы при постоянном токе плазмы 220 кА.</w:t>
                  </w:r>
                </w:p>
              </w:txbxContent>
            </v:textbox>
            <w10:anchorlock/>
          </v:shape>
        </w:pict>
      </w:r>
      <w:r w:rsidRPr="00AB5641">
        <w:rPr>
          <w:noProof/>
          <w:lang w:val="en-US" w:eastAsia="en-US"/>
        </w:rPr>
        <w:pict>
          <v:shape id="_x0000_s1028" type="#_x0000_t202" style="position:absolute;left:0;text-align:left;margin-left:273.3pt;margin-top:521.9pt;width:150pt;height:76.95pt;z-index:251663360;mso-height-percent:200;mso-height-percent:200;mso-width-relative:margin;mso-height-relative:margin" stroked="f">
            <v:textbox style="mso-fit-shape-to-text:t">
              <w:txbxContent>
                <w:p w:rsidR="00AB5641" w:rsidRDefault="00AB5641" w:rsidP="00AB5641">
                  <w:pPr>
                    <w:rPr>
                      <w:lang w:val="en-US"/>
                    </w:rPr>
                  </w:pPr>
                  <w:r w:rsidRPr="00AB5641">
                    <w:t>Рис. 2.</w:t>
                  </w:r>
                </w:p>
                <w:p w:rsidR="00AB5641" w:rsidRPr="00AB5641" w:rsidRDefault="00AB5641" w:rsidP="00AB5641">
                  <w:pPr>
                    <w:rPr>
                      <w:lang w:val="en-US"/>
                    </w:rPr>
                  </w:pPr>
                </w:p>
                <w:p w:rsidR="00AB5641" w:rsidRPr="00AB5641" w:rsidRDefault="00AB5641" w:rsidP="00AB5641">
                  <w:r w:rsidRPr="00AB5641">
                    <w:t>Зависимость профиля ионной температуры от плотности и тока плазмы.</w:t>
                  </w:r>
                </w:p>
              </w:txbxContent>
            </v:textbox>
            <w10:anchorlock/>
          </v:shape>
        </w:pict>
      </w:r>
      <w:r w:rsidR="00AB5641">
        <w:rPr>
          <w:noProof/>
        </w:rPr>
        <w:drawing>
          <wp:anchor distT="0" distB="0" distL="114300" distR="114300" simplePos="0" relativeHeight="251661312" behindDoc="1" locked="1" layoutInCell="1" allowOverlap="1">
            <wp:simplePos x="0" y="0"/>
            <wp:positionH relativeFrom="column">
              <wp:posOffset>22860</wp:posOffset>
            </wp:positionH>
            <wp:positionV relativeFrom="paragraph">
              <wp:posOffset>5151755</wp:posOffset>
            </wp:positionV>
            <wp:extent cx="3694430" cy="2733675"/>
            <wp:effectExtent l="19050" t="0" r="1270" b="0"/>
            <wp:wrapNone/>
            <wp:docPr id="5" name="Рисунок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94430" cy="2733675"/>
                    </a:xfrm>
                    <a:prstGeom prst="rect">
                      <a:avLst/>
                    </a:prstGeom>
                    <a:noFill/>
                    <a:ln>
                      <a:noFill/>
                    </a:ln>
                  </pic:spPr>
                </pic:pic>
              </a:graphicData>
            </a:graphic>
          </wp:anchor>
        </w:drawing>
      </w:r>
      <w:r w:rsidR="00AB5641">
        <w:rPr>
          <w:noProof/>
        </w:rPr>
        <w:drawing>
          <wp:anchor distT="0" distB="0" distL="114300" distR="114300" simplePos="0" relativeHeight="251664384" behindDoc="1" locked="1" layoutInCell="1" allowOverlap="1">
            <wp:simplePos x="0" y="0"/>
            <wp:positionH relativeFrom="column">
              <wp:posOffset>41910</wp:posOffset>
            </wp:positionH>
            <wp:positionV relativeFrom="paragraph">
              <wp:posOffset>2503805</wp:posOffset>
            </wp:positionV>
            <wp:extent cx="3676650" cy="2724150"/>
            <wp:effectExtent l="19050" t="0" r="0" b="0"/>
            <wp:wrapNone/>
            <wp:docPr id="6" name="Рисунок 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0"/>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76650" cy="2724150"/>
                    </a:xfrm>
                    <a:prstGeom prst="rect">
                      <a:avLst/>
                    </a:prstGeom>
                    <a:noFill/>
                    <a:ln>
                      <a:noFill/>
                    </a:ln>
                  </pic:spPr>
                </pic:pic>
              </a:graphicData>
            </a:graphic>
          </wp:anchor>
        </w:drawing>
      </w:r>
      <w:r w:rsidR="00AB5641" w:rsidRPr="00AB5641">
        <w:t>В работе описано устройство и принцип работы CXRS диагностики Т-10. Проведен анализ основных способов обработки CXRS спектров линии 5291А иона C</w:t>
      </w:r>
      <w:r w:rsidR="00AB5641">
        <w:rPr>
          <w:sz w:val="22"/>
          <w:szCs w:val="22"/>
          <w:vertAlign w:val="superscript"/>
        </w:rPr>
        <w:t>5+</w:t>
      </w:r>
      <w:r w:rsidR="00AB5641" w:rsidRPr="00AB5641">
        <w:t>, используемых на Т-10 – с вычитанием и без вычитания паразитного излучения периферийной плазмы. Описан используемый на Т-10 метод усреднения CXRS спектров по нескольким разрядам для увеличения соотношения сигнал-шум. Приведены результаты CXRS измерений ионной температуры по спектру линии 5291А полученные в омических разрядах Т-10 и в разрядах с дополнительным нагревом электронов на электронно-циклотронном резонансе (ЭЦР нагрев). Зависимость профиля ионной температуры от плотности плазмы при постоянном токе плазмы 220 кА изображена на рисунке 1. Зависимость профиля ионной температуры от тока плазмы при фиксированном продольном магнитном поле и близких величинах электронной плотности можно видеть на рисунке 2. Также было выполнено исследование пространственно-временной эволюции профиля ионной температуры в различных ОН режимах. Приведена зависимость профиля температуры от мощности ЭЦР нагрева и динамика ЭЦР-удаления ядер углерода из разряда Т-10.</w:t>
      </w:r>
    </w:p>
    <w:p w:rsidR="00AB5641" w:rsidRDefault="00AB5641" w:rsidP="00AB5641">
      <w:pPr>
        <w:pStyle w:val="15"/>
        <w:spacing w:before="0"/>
        <w:jc w:val="left"/>
      </w:pPr>
    </w:p>
    <w:p w:rsidR="00AB5641" w:rsidRDefault="00AB5641" w:rsidP="000D76E9">
      <w:pPr>
        <w:rPr>
          <w:lang w:val="en-US"/>
        </w:rPr>
      </w:pPr>
    </w:p>
    <w:sectPr w:rsidR="00AB5641"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95A" w:rsidRDefault="0026295A">
      <w:r>
        <w:separator/>
      </w:r>
    </w:p>
  </w:endnote>
  <w:endnote w:type="continuationSeparator" w:id="0">
    <w:p w:rsidR="0026295A" w:rsidRDefault="002629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505E9"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505E9"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5206E7">
      <w:rPr>
        <w:rStyle w:val="a6"/>
        <w:noProof/>
      </w:rPr>
      <w:t>1</w:t>
    </w:r>
    <w:r>
      <w:rPr>
        <w:rStyle w:val="a6"/>
      </w:rPr>
      <w:fldChar w:fldCharType="end"/>
    </w:r>
  </w:p>
  <w:p w:rsidR="00F74399" w:rsidRDefault="00F743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95A" w:rsidRDefault="0026295A">
      <w:r>
        <w:separator/>
      </w:r>
    </w:p>
  </w:footnote>
  <w:footnote w:type="continuationSeparator" w:id="0">
    <w:p w:rsidR="0026295A" w:rsidRDefault="002629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5741ED" w:rsidP="00F41597">
    <w:pPr>
      <w:pStyle w:val="a3"/>
      <w:jc w:val="center"/>
      <w:rPr>
        <w:sz w:val="20"/>
      </w:rPr>
    </w:pPr>
    <w:r w:rsidRPr="00AB5641">
      <w:rPr>
        <w:sz w:val="20"/>
      </w:rPr>
      <w:t xml:space="preserve"> </w:t>
    </w:r>
    <w:r>
      <w:rPr>
        <w:sz w:val="20"/>
        <w:lang w:val="en-US"/>
      </w:rPr>
      <w:t>XLV</w:t>
    </w:r>
    <w:r>
      <w:rPr>
        <w:sz w:val="20"/>
      </w:rPr>
      <w:t xml:space="preserve"> Международная (Звенигородская) конференция по физике плазмы и УТС,  </w:t>
    </w:r>
    <w:r w:rsidRPr="00140645">
      <w:rPr>
        <w:sz w:val="20"/>
      </w:rPr>
      <w:t>2</w:t>
    </w:r>
    <w:r>
      <w:rPr>
        <w:sz w:val="20"/>
      </w:rPr>
      <w:t xml:space="preserve"> – </w:t>
    </w:r>
    <w:r w:rsidRPr="00140645">
      <w:rPr>
        <w:sz w:val="20"/>
      </w:rPr>
      <w:t>6</w:t>
    </w:r>
    <w:r>
      <w:rPr>
        <w:sz w:val="20"/>
      </w:rPr>
      <w:t xml:space="preserve"> апреля 2018 г.</w:t>
    </w:r>
  </w:p>
  <w:p w:rsidR="00F41597" w:rsidRPr="00455FA8" w:rsidRDefault="000505E9" w:rsidP="00F41597">
    <w:pPr>
      <w:pStyle w:val="a3"/>
      <w:jc w:val="center"/>
      <w:rPr>
        <w:sz w:val="20"/>
      </w:rPr>
    </w:pPr>
    <w:r>
      <w:rPr>
        <w:noProof/>
        <w:sz w:val="20"/>
      </w:rPr>
      <w:pict>
        <v:line id="_x0000_s2056" style="position:absolute;left:0;text-align:left;flip:y;z-index:25166028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rsids>
    <w:rsidRoot w:val="005206E7"/>
    <w:rsid w:val="0002206C"/>
    <w:rsid w:val="00043701"/>
    <w:rsid w:val="000505E9"/>
    <w:rsid w:val="000C657D"/>
    <w:rsid w:val="000C7078"/>
    <w:rsid w:val="000D76E9"/>
    <w:rsid w:val="000E495B"/>
    <w:rsid w:val="001C0CCB"/>
    <w:rsid w:val="00220629"/>
    <w:rsid w:val="00247225"/>
    <w:rsid w:val="002551AC"/>
    <w:rsid w:val="0026295A"/>
    <w:rsid w:val="003800F3"/>
    <w:rsid w:val="003B5B93"/>
    <w:rsid w:val="00401388"/>
    <w:rsid w:val="00446025"/>
    <w:rsid w:val="00455FA8"/>
    <w:rsid w:val="004A374B"/>
    <w:rsid w:val="004A77D1"/>
    <w:rsid w:val="004B72AA"/>
    <w:rsid w:val="004E4543"/>
    <w:rsid w:val="004F4E29"/>
    <w:rsid w:val="005206E7"/>
    <w:rsid w:val="00542341"/>
    <w:rsid w:val="00567C6F"/>
    <w:rsid w:val="00573BAD"/>
    <w:rsid w:val="005741ED"/>
    <w:rsid w:val="0058676C"/>
    <w:rsid w:val="00654A7B"/>
    <w:rsid w:val="006775A4"/>
    <w:rsid w:val="006A4E54"/>
    <w:rsid w:val="00732A2E"/>
    <w:rsid w:val="007B6378"/>
    <w:rsid w:val="007E06CE"/>
    <w:rsid w:val="008022B0"/>
    <w:rsid w:val="00802D35"/>
    <w:rsid w:val="00930480"/>
    <w:rsid w:val="0094051A"/>
    <w:rsid w:val="00953341"/>
    <w:rsid w:val="009D46CB"/>
    <w:rsid w:val="00AA2CE7"/>
    <w:rsid w:val="00AB5641"/>
    <w:rsid w:val="00AB58B3"/>
    <w:rsid w:val="00B622ED"/>
    <w:rsid w:val="00B9584E"/>
    <w:rsid w:val="00BC1716"/>
    <w:rsid w:val="00C103CD"/>
    <w:rsid w:val="00C232A0"/>
    <w:rsid w:val="00D47F19"/>
    <w:rsid w:val="00D900FB"/>
    <w:rsid w:val="00DA1D0D"/>
    <w:rsid w:val="00E7021A"/>
    <w:rsid w:val="00E87733"/>
    <w:rsid w:val="00ED6260"/>
    <w:rsid w:val="00F41597"/>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5641"/>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 w:type="paragraph" w:customStyle="1" w:styleId="11">
    <w:name w:val="Стиль11"/>
    <w:basedOn w:val="a"/>
    <w:qFormat/>
    <w:rsid w:val="00AB5641"/>
    <w:pPr>
      <w:keepNext/>
      <w:suppressAutoHyphens/>
      <w:spacing w:before="120"/>
      <w:jc w:val="center"/>
      <w:outlineLvl w:val="0"/>
    </w:pPr>
    <w:rPr>
      <w:rFonts w:eastAsia="Calibri"/>
      <w:b/>
      <w:i/>
      <w:iCs/>
    </w:rPr>
  </w:style>
  <w:style w:type="paragraph" w:customStyle="1" w:styleId="15">
    <w:name w:val="Стиль15"/>
    <w:basedOn w:val="a"/>
    <w:qFormat/>
    <w:rsid w:val="00AB5641"/>
    <w:pPr>
      <w:keepNext/>
      <w:spacing w:before="360"/>
      <w:jc w:val="center"/>
    </w:pPr>
    <w:rPr>
      <w:noProof/>
      <w:lang w:val="en-US"/>
    </w:rPr>
  </w:style>
  <w:style w:type="paragraph" w:customStyle="1" w:styleId="16">
    <w:name w:val="Стиль16"/>
    <w:basedOn w:val="a"/>
    <w:qFormat/>
    <w:rsid w:val="00AB5641"/>
    <w:pPr>
      <w:keepLines/>
      <w:suppressAutoHyphens/>
      <w:spacing w:before="120" w:after="240"/>
      <w:jc w:val="center"/>
    </w:pPr>
    <w:rPr>
      <w:sz w:val="22"/>
      <w:szCs w:val="22"/>
    </w:rPr>
  </w:style>
  <w:style w:type="paragraph" w:styleId="a8">
    <w:name w:val="Balloon Text"/>
    <w:basedOn w:val="a"/>
    <w:link w:val="a9"/>
    <w:rsid w:val="00AB5641"/>
    <w:rPr>
      <w:rFonts w:ascii="Tahoma" w:hAnsi="Tahoma" w:cs="Tahoma"/>
      <w:sz w:val="16"/>
      <w:szCs w:val="16"/>
    </w:rPr>
  </w:style>
  <w:style w:type="character" w:customStyle="1" w:styleId="a9">
    <w:name w:val="Текст выноски Знак"/>
    <w:basedOn w:val="a0"/>
    <w:link w:val="a8"/>
    <w:rsid w:val="00AB56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Zven_2018_r</Template>
  <TotalTime>20</TotalTime>
  <Pages>1</Pages>
  <Words>194</Words>
  <Characters>1112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ДИАГНОСТИКА АКТИВНАЯ СПЕКТРОСКОПИЯ НА ТОКАМАКЕ Т-10</vt:lpstr>
    </vt:vector>
  </TitlesOfParts>
  <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ДИАГНОСТИКА АКТИВНАЯ СПЕКТРОСКОПИЯ НА ТОКАМАКЕ Т-10</dc:title>
  <dc:creator>sato</dc:creator>
  <cp:lastModifiedBy>Сатунин</cp:lastModifiedBy>
  <cp:revision>1</cp:revision>
  <cp:lastPrinted>1601-01-01T00:00:00Z</cp:lastPrinted>
  <dcterms:created xsi:type="dcterms:W3CDTF">2018-03-01T13:50:00Z</dcterms:created>
  <dcterms:modified xsi:type="dcterms:W3CDTF">2018-03-01T14:10:00Z</dcterms:modified>
</cp:coreProperties>
</file>