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08" w:rsidRPr="00783255" w:rsidRDefault="00DF3208" w:rsidP="00DF3208">
      <w:pPr>
        <w:pStyle w:val="Zv-Titlereport"/>
      </w:pPr>
      <w:r w:rsidRPr="002D2B5C">
        <w:t>установк</w:t>
      </w:r>
      <w:r>
        <w:t>А для изучения взаимодействия плазмы с материалами на основе ВЧ-источника геликонного типа: Первые результаты</w:t>
      </w:r>
      <w:r w:rsidR="00783255" w:rsidRPr="00783255">
        <w:t xml:space="preserve"> </w:t>
      </w:r>
      <w:r w:rsidR="00783255">
        <w:rPr>
          <w:rStyle w:val="ab"/>
        </w:rPr>
        <w:footnoteReference w:customMarkFollows="1" w:id="1"/>
        <w:t>*)</w:t>
      </w:r>
    </w:p>
    <w:p w:rsidR="00DF3208" w:rsidRPr="002D2B5C" w:rsidRDefault="00DF3208" w:rsidP="00DF3208">
      <w:pPr>
        <w:pStyle w:val="Zv-Author"/>
      </w:pPr>
      <w:r w:rsidRPr="00D62DE8">
        <w:rPr>
          <w:u w:val="single"/>
        </w:rPr>
        <w:t>Черкез Д.И.</w:t>
      </w:r>
      <w:r w:rsidRPr="00DF3208">
        <w:t>,</w:t>
      </w:r>
      <w:r w:rsidRPr="002D2B5C">
        <w:t xml:space="preserve"> </w:t>
      </w:r>
      <w:r>
        <w:t xml:space="preserve">Степанов Н.О., </w:t>
      </w:r>
      <w:r w:rsidRPr="00D62DE8">
        <w:t>Ананьев С.С.,</w:t>
      </w:r>
      <w:r w:rsidRPr="002D2B5C">
        <w:t xml:space="preserve"> Спицын А.В.</w:t>
      </w:r>
    </w:p>
    <w:p w:rsidR="00DF3208" w:rsidRPr="00DF3208" w:rsidRDefault="00DF3208" w:rsidP="00DF3208">
      <w:pPr>
        <w:pStyle w:val="Zv-Organization"/>
      </w:pPr>
      <w:r w:rsidRPr="002D2B5C">
        <w:t xml:space="preserve">НИЦ «Курчатовский институт», Москва, Россия, </w:t>
      </w:r>
      <w:hyperlink r:id="rId8" w:history="1">
        <w:r w:rsidRPr="009147E0">
          <w:rPr>
            <w:rStyle w:val="a8"/>
            <w:lang w:val="en-US"/>
          </w:rPr>
          <w:t>Cherkez</w:t>
        </w:r>
        <w:r w:rsidRPr="009147E0">
          <w:rPr>
            <w:rStyle w:val="a8"/>
          </w:rPr>
          <w:t>_</w:t>
        </w:r>
        <w:r w:rsidRPr="009147E0">
          <w:rPr>
            <w:rStyle w:val="a8"/>
            <w:lang w:val="en-US"/>
          </w:rPr>
          <w:t>DI</w:t>
        </w:r>
        <w:r w:rsidRPr="009147E0">
          <w:rPr>
            <w:rStyle w:val="a8"/>
          </w:rPr>
          <w:t>@</w:t>
        </w:r>
        <w:r w:rsidRPr="009147E0">
          <w:rPr>
            <w:rStyle w:val="a8"/>
            <w:lang w:val="en-US"/>
          </w:rPr>
          <w:t>nrcki</w:t>
        </w:r>
        <w:r w:rsidRPr="009147E0">
          <w:rPr>
            <w:rStyle w:val="a8"/>
          </w:rPr>
          <w:t>.</w:t>
        </w:r>
        <w:r w:rsidRPr="009147E0">
          <w:rPr>
            <w:rStyle w:val="a8"/>
            <w:lang w:val="en-US"/>
          </w:rPr>
          <w:t>ru</w:t>
        </w:r>
      </w:hyperlink>
    </w:p>
    <w:p w:rsidR="00DF3208" w:rsidRDefault="00DF3208" w:rsidP="00DF3208">
      <w:pPr>
        <w:pStyle w:val="Zv-bodyreport"/>
      </w:pPr>
      <w:r w:rsidRPr="002D2B5C">
        <w:t>Источники низкотемпературной плазмы в настоящее время широко применяются в самых разнообразных областях науки и техники</w:t>
      </w:r>
      <w:r>
        <w:t xml:space="preserve"> и промышленности: бытовое применение в качестве </w:t>
      </w:r>
      <w:r w:rsidRPr="002D2B5C">
        <w:t>источник</w:t>
      </w:r>
      <w:r>
        <w:t>ов света;</w:t>
      </w:r>
      <w:r w:rsidRPr="002D2B5C">
        <w:t xml:space="preserve"> производство</w:t>
      </w:r>
      <w:r>
        <w:t xml:space="preserve"> микроэлектроники;</w:t>
      </w:r>
      <w:r w:rsidRPr="002D2B5C">
        <w:t xml:space="preserve"> плазменн</w:t>
      </w:r>
      <w:r>
        <w:t>ая</w:t>
      </w:r>
      <w:r w:rsidRPr="002D2B5C">
        <w:t xml:space="preserve"> обработк</w:t>
      </w:r>
      <w:r>
        <w:t>а материалов;</w:t>
      </w:r>
      <w:r w:rsidRPr="002D2B5C">
        <w:t xml:space="preserve"> научны</w:t>
      </w:r>
      <w:r>
        <w:t>е</w:t>
      </w:r>
      <w:r w:rsidRPr="002D2B5C">
        <w:t xml:space="preserve"> исследования,</w:t>
      </w:r>
      <w:r>
        <w:t xml:space="preserve"> посвященные различным аспектам взаимодействия плазмы с материалами, в т.ч. перспективными для применения в </w:t>
      </w:r>
      <w:r w:rsidRPr="002D2B5C">
        <w:t>термоядерн</w:t>
      </w:r>
      <w:r>
        <w:t>ом</w:t>
      </w:r>
      <w:r w:rsidRPr="002D2B5C">
        <w:t xml:space="preserve"> </w:t>
      </w:r>
      <w:r>
        <w:t>реакторе</w:t>
      </w:r>
      <w:r w:rsidRPr="002D2B5C">
        <w:t xml:space="preserve">. </w:t>
      </w:r>
      <w:r>
        <w:t>П</w:t>
      </w:r>
      <w:r w:rsidRPr="002D2B5C">
        <w:t>лазменны</w:t>
      </w:r>
      <w:r>
        <w:t>е</w:t>
      </w:r>
      <w:r w:rsidRPr="002D2B5C">
        <w:t xml:space="preserve"> источник</w:t>
      </w:r>
      <w:r>
        <w:t>и</w:t>
      </w:r>
      <w:r w:rsidRPr="002D2B5C">
        <w:t xml:space="preserve"> основывается на различных методах ионизации газа: ионизация молекул в тлеющем газовом разряде, ионизация газа электронным ударом, возбуждение высокочастотными (ВЧ) и сверхвысокочастотными</w:t>
      </w:r>
      <w:r>
        <w:t xml:space="preserve"> (СВЧ) источниками тока и т.д. </w:t>
      </w:r>
      <w:r w:rsidRPr="001A1C46">
        <w:t>Для проведения прикладных исследований в области взаимодействия плазмы с поверхностью применительно к задачам термоядерных установок наиболее интересны высокопоточные плазменные генераторы, имитирующие плазменные потоки существующих и строящихся термоядерных реакторов</w:t>
      </w:r>
      <w:r>
        <w:t>.</w:t>
      </w:r>
      <w:r w:rsidRPr="002D2B5C">
        <w:t xml:space="preserve"> </w:t>
      </w:r>
    </w:p>
    <w:p w:rsidR="00DF3208" w:rsidRPr="004843B9" w:rsidRDefault="00DF3208" w:rsidP="00DF3208">
      <w:pPr>
        <w:pStyle w:val="Zv-bodyreport"/>
      </w:pPr>
      <w:r>
        <w:t xml:space="preserve">К </w:t>
      </w:r>
      <w:r w:rsidRPr="004843B9">
        <w:t>перспективн</w:t>
      </w:r>
      <w:r>
        <w:t xml:space="preserve">ому типу </w:t>
      </w:r>
      <w:r w:rsidRPr="004843B9">
        <w:t>компактн</w:t>
      </w:r>
      <w:r>
        <w:t>ых</w:t>
      </w:r>
      <w:r w:rsidRPr="004843B9">
        <w:t xml:space="preserve"> плазменн</w:t>
      </w:r>
      <w:r>
        <w:t>ых</w:t>
      </w:r>
      <w:r w:rsidRPr="004843B9">
        <w:t xml:space="preserve"> источник</w:t>
      </w:r>
      <w:r>
        <w:t>ов</w:t>
      </w:r>
      <w:r w:rsidRPr="004843B9">
        <w:t xml:space="preserve"> для исследования взаимодействия плазмы с материалами </w:t>
      </w:r>
      <w:r>
        <w:t>можно отнести</w:t>
      </w:r>
      <w:r w:rsidRPr="004843B9">
        <w:t xml:space="preserve"> ВЧ</w:t>
      </w:r>
      <w:r>
        <w:t>-</w:t>
      </w:r>
      <w:r w:rsidRPr="004843B9">
        <w:t>источник</w:t>
      </w:r>
      <w:r>
        <w:t>и</w:t>
      </w:r>
      <w:r w:rsidRPr="004843B9">
        <w:t xml:space="preserve"> плазмы</w:t>
      </w:r>
      <w:r>
        <w:t>, в частности</w:t>
      </w:r>
      <w:r w:rsidRPr="004843B9">
        <w:t xml:space="preserve"> с индукционным разрядом геликон</w:t>
      </w:r>
      <w:r>
        <w:t>но</w:t>
      </w:r>
      <w:r w:rsidRPr="004843B9">
        <w:t>го типа</w:t>
      </w:r>
      <w:r w:rsidRPr="00286317">
        <w:t xml:space="preserve"> </w:t>
      </w:r>
      <w:r w:rsidRPr="00A77296">
        <w:t>[</w:t>
      </w:r>
      <w:r w:rsidRPr="003F58E7">
        <w:t>1-</w:t>
      </w:r>
      <w:r w:rsidRPr="00476F9A">
        <w:t>2</w:t>
      </w:r>
      <w:r w:rsidRPr="00A77296">
        <w:t>]</w:t>
      </w:r>
      <w:r w:rsidRPr="004843B9">
        <w:t xml:space="preserve">. Достоинством </w:t>
      </w:r>
      <w:r>
        <w:t xml:space="preserve">подобных </w:t>
      </w:r>
      <w:r w:rsidRPr="004843B9">
        <w:t>плазменн</w:t>
      </w:r>
      <w:r>
        <w:t xml:space="preserve">ых </w:t>
      </w:r>
      <w:r w:rsidRPr="004843B9">
        <w:t>источник</w:t>
      </w:r>
      <w:r>
        <w:t>ов</w:t>
      </w:r>
      <w:r w:rsidRPr="004843B9">
        <w:t xml:space="preserve"> является </w:t>
      </w:r>
      <w:r>
        <w:t xml:space="preserve">возможность варьировать </w:t>
      </w:r>
      <w:r w:rsidRPr="004843B9">
        <w:t>плотност</w:t>
      </w:r>
      <w:r>
        <w:t>ь плазмы</w:t>
      </w:r>
      <w:r w:rsidRPr="004843B9">
        <w:t xml:space="preserve"> </w:t>
      </w:r>
      <w:r>
        <w:t xml:space="preserve">(и, соответственно, </w:t>
      </w:r>
      <w:r w:rsidRPr="004843B9">
        <w:t>поток</w:t>
      </w:r>
      <w:r>
        <w:t>и</w:t>
      </w:r>
      <w:r w:rsidRPr="004843B9">
        <w:t xml:space="preserve"> плазмы</w:t>
      </w:r>
      <w:r>
        <w:t>) в широких пределах</w:t>
      </w:r>
      <w:r w:rsidRPr="004843B9">
        <w:t xml:space="preserve">, а также отсутствие </w:t>
      </w:r>
      <w:r>
        <w:t xml:space="preserve">эродирующих в ходе горения разряда </w:t>
      </w:r>
      <w:r w:rsidRPr="004843B9">
        <w:t>электродов, что существенно влияет на чист</w:t>
      </w:r>
      <w:r w:rsidRPr="008D55FD">
        <w:t xml:space="preserve">оту плазмы. </w:t>
      </w:r>
      <w:r>
        <w:t xml:space="preserve">В тоже время, установки такого типа, позволяют достигать плотности плазмы порядка </w:t>
      </w:r>
      <w:r w:rsidRPr="00ED54CA">
        <w:t>10</w:t>
      </w:r>
      <w:r>
        <w:rPr>
          <w:vertAlign w:val="superscript"/>
        </w:rPr>
        <w:t>17</w:t>
      </w:r>
      <w:r>
        <w:t>–</w:t>
      </w:r>
      <w:r w:rsidRPr="00ED54CA">
        <w:t>10</w:t>
      </w:r>
      <w:r>
        <w:rPr>
          <w:vertAlign w:val="superscript"/>
        </w:rPr>
        <w:t>19</w:t>
      </w:r>
      <w:r>
        <w:rPr>
          <w:sz w:val="28"/>
          <w:szCs w:val="28"/>
        </w:rPr>
        <w:t> </w:t>
      </w:r>
      <w:r w:rsidRPr="00ED54CA">
        <w:t>м</w:t>
      </w:r>
      <w:r>
        <w:rPr>
          <w:vertAlign w:val="superscript"/>
        </w:rPr>
        <w:t>-3</w:t>
      </w:r>
      <w:r w:rsidRPr="003F58E7">
        <w:t xml:space="preserve"> </w:t>
      </w:r>
      <w:r>
        <w:t>и отличаются компактностью.</w:t>
      </w:r>
    </w:p>
    <w:p w:rsidR="00DF3208" w:rsidRDefault="00DF3208" w:rsidP="00DF3208">
      <w:pPr>
        <w:pStyle w:val="Zv-bodyreport"/>
      </w:pPr>
      <w:r w:rsidRPr="002D2B5C">
        <w:t>В работе представлены результаты проектирования</w:t>
      </w:r>
      <w:r>
        <w:t xml:space="preserve"> и создания</w:t>
      </w:r>
      <w:r w:rsidRPr="002D2B5C">
        <w:t xml:space="preserve"> лабораторной экспериментальной установки ГПИ-2 на основе 13,56 МГц геликонного источника плазмы мощностью 2 </w:t>
      </w:r>
      <w:r>
        <w:t xml:space="preserve">кВт. </w:t>
      </w:r>
      <w:r w:rsidRPr="002D2B5C">
        <w:t xml:space="preserve">Установка предназначена для изучения взаимодействия плазмы с перспективными </w:t>
      </w:r>
      <w:r>
        <w:t xml:space="preserve">для применения в </w:t>
      </w:r>
      <w:r w:rsidRPr="002D2B5C">
        <w:t>термоядерных реактор</w:t>
      </w:r>
      <w:r>
        <w:t>ах материалами</w:t>
      </w:r>
      <w:r w:rsidRPr="002D2B5C">
        <w:t>.</w:t>
      </w:r>
      <w:r>
        <w:t xml:space="preserve"> В работе также рассмотрены перспективы дальнейшей модернизации: увеличение вводимой ВЧ-мощности и применение дополнительных магнитных катушек</w:t>
      </w:r>
      <w:r w:rsidRPr="002D2B5C">
        <w:t xml:space="preserve"> </w:t>
      </w:r>
      <w:r>
        <w:t xml:space="preserve">(до </w:t>
      </w:r>
      <w:r w:rsidRPr="002D2B5C">
        <w:t>0,</w:t>
      </w:r>
      <w:r>
        <w:t>3</w:t>
      </w:r>
      <w:r w:rsidRPr="002D2B5C">
        <w:t xml:space="preserve"> Тл</w:t>
      </w:r>
      <w:r>
        <w:t>) для создания магнитной фокусировки с целью повышения плотности плазменного потока</w:t>
      </w:r>
      <w:r w:rsidRPr="002D2B5C">
        <w:t>.</w:t>
      </w:r>
      <w:r w:rsidRPr="001474E9">
        <w:t xml:space="preserve"> </w:t>
      </w:r>
      <w:r>
        <w:t>В текущей конфигурации установки в качестве р</w:t>
      </w:r>
      <w:r w:rsidRPr="002D2B5C">
        <w:t>абоч</w:t>
      </w:r>
      <w:r>
        <w:t>его</w:t>
      </w:r>
      <w:r w:rsidRPr="002D2B5C">
        <w:t xml:space="preserve"> газ</w:t>
      </w:r>
      <w:r>
        <w:t xml:space="preserve">а используются </w:t>
      </w:r>
      <w:r w:rsidRPr="002D2B5C">
        <w:t>изотопы водорода</w:t>
      </w:r>
      <w:r>
        <w:t>: протий или дейтерий,</w:t>
      </w:r>
      <w:r w:rsidRPr="002D2B5C">
        <w:t xml:space="preserve"> </w:t>
      </w:r>
      <w:r>
        <w:t xml:space="preserve">в т.ч. </w:t>
      </w:r>
      <w:r w:rsidRPr="002D2B5C">
        <w:t xml:space="preserve">с возможностью добавления </w:t>
      </w:r>
      <w:r>
        <w:t xml:space="preserve">примесей – </w:t>
      </w:r>
      <w:r w:rsidRPr="002D2B5C">
        <w:t>гелия, неона или аргона.</w:t>
      </w:r>
    </w:p>
    <w:p w:rsidR="00DF3208" w:rsidRPr="002D2B5C" w:rsidRDefault="00DF3208" w:rsidP="00DF3208">
      <w:pPr>
        <w:pStyle w:val="Zv-bodyreport"/>
      </w:pPr>
      <w:r>
        <w:t>В работе также приведены первые результаты</w:t>
      </w:r>
      <w:r w:rsidRPr="002D2B5C">
        <w:t xml:space="preserve"> </w:t>
      </w:r>
      <w:r>
        <w:t xml:space="preserve">экспериментов с измерением величин ионных токов в зависимости от введённой ВЧ мощности, а также данные полученные с помощью зондов Ленгмюра. Полученные результаты подтверждают возможность работы источника плазмы в ожидаемом диапазоне </w:t>
      </w:r>
      <w:r w:rsidRPr="002D2B5C">
        <w:t>плотност</w:t>
      </w:r>
      <w:r>
        <w:t>ей</w:t>
      </w:r>
      <w:r w:rsidRPr="002D2B5C">
        <w:t xml:space="preserve"> потока ионов 10</w:t>
      </w:r>
      <w:r w:rsidRPr="002D2B5C">
        <w:rPr>
          <w:vertAlign w:val="superscript"/>
        </w:rPr>
        <w:t>20</w:t>
      </w:r>
      <w:r w:rsidRPr="002D2B5C">
        <w:t>–10</w:t>
      </w:r>
      <w:r w:rsidRPr="002D2B5C">
        <w:rPr>
          <w:vertAlign w:val="superscript"/>
        </w:rPr>
        <w:t>22</w:t>
      </w:r>
      <w:r>
        <w:t> </w:t>
      </w:r>
      <w:r w:rsidRPr="002D2B5C">
        <w:t>ионов/</w:t>
      </w:r>
      <w:r w:rsidRPr="00DB63B0">
        <w:t>(</w:t>
      </w:r>
      <w:r w:rsidRPr="002D2B5C">
        <w:t>с·м</w:t>
      </w:r>
      <w:r w:rsidRPr="002D2B5C">
        <w:rPr>
          <w:vertAlign w:val="superscript"/>
        </w:rPr>
        <w:t>2</w:t>
      </w:r>
      <w:r w:rsidRPr="00DB63B0">
        <w:t>)</w:t>
      </w:r>
      <w:r w:rsidRPr="002D2B5C">
        <w:t>.</w:t>
      </w:r>
    </w:p>
    <w:p w:rsidR="00DF3208" w:rsidRPr="002D2B5C" w:rsidRDefault="00DF3208" w:rsidP="00DF3208">
      <w:pPr>
        <w:pStyle w:val="Zv-bodyreport"/>
        <w:spacing w:before="120"/>
      </w:pPr>
      <w:r w:rsidRPr="002D2B5C">
        <w:t>Эта работа была частично поддержана Российским научным фондом (№ 18-72-10162).</w:t>
      </w:r>
    </w:p>
    <w:p w:rsidR="00DF3208" w:rsidRPr="002D2B5C" w:rsidRDefault="00DF3208" w:rsidP="00DF3208">
      <w:pPr>
        <w:pStyle w:val="Zv-TitleReferences-ru"/>
        <w:rPr>
          <w:lang w:val="en-US"/>
        </w:rPr>
      </w:pPr>
      <w:r w:rsidRPr="002D2B5C">
        <w:t>Литература</w:t>
      </w:r>
    </w:p>
    <w:p w:rsidR="00DF3208" w:rsidRPr="00DF3208" w:rsidRDefault="00DF3208" w:rsidP="00DF3208">
      <w:pPr>
        <w:pStyle w:val="Zv-References-ru"/>
        <w:rPr>
          <w:lang w:val="en-US"/>
        </w:rPr>
      </w:pPr>
      <w:r w:rsidRPr="00DF3208">
        <w:rPr>
          <w:lang w:val="en-US"/>
        </w:rPr>
        <w:t>A.A. Ivanov, V.I. Davydenko, I.A. Kotelnikov, A.Kreter, V.V. Mishagin, I.A. Prokhorov, I.V. Shikhovtsev, B. Unterberg, «High Efficiency Helicon Plasma Source for PMI Studies» // Fusion Science and Technology / Volume 63 / Number 1T / May 2013 / Pages 217-220</w:t>
      </w:r>
    </w:p>
    <w:p w:rsidR="00DF3208" w:rsidRPr="00DF3208" w:rsidRDefault="00DF3208" w:rsidP="00DF3208">
      <w:pPr>
        <w:pStyle w:val="Zv-References-ru"/>
      </w:pPr>
      <w:r w:rsidRPr="00476F9A">
        <w:t xml:space="preserve">Кралькина Е.А. Индуктивный высокочастотный разряд низкого давления и возможности оптимизации источников плазмы на его основе </w:t>
      </w:r>
      <w:r w:rsidRPr="00476F9A">
        <w:rPr>
          <w:sz w:val="18"/>
          <w:szCs w:val="18"/>
        </w:rPr>
        <w:t xml:space="preserve">— </w:t>
      </w:r>
      <w:r w:rsidRPr="00476F9A">
        <w:t xml:space="preserve">УФН, 2008, том 178, номер 5, 519–540, </w:t>
      </w:r>
      <w:r w:rsidRPr="00476F9A">
        <w:rPr>
          <w:lang w:val="en-US"/>
        </w:rPr>
        <w:t>DOI</w:t>
      </w:r>
      <w:r w:rsidRPr="00476F9A">
        <w:t xml:space="preserve">: </w:t>
      </w:r>
      <w:hyperlink r:id="rId9" w:history="1">
        <w:r w:rsidRPr="009147E0">
          <w:rPr>
            <w:rStyle w:val="a8"/>
            <w:lang w:val="en-US"/>
          </w:rPr>
          <w:t>https</w:t>
        </w:r>
        <w:r w:rsidRPr="009147E0">
          <w:rPr>
            <w:rStyle w:val="a8"/>
          </w:rPr>
          <w:t>://</w:t>
        </w:r>
        <w:r w:rsidRPr="009147E0">
          <w:rPr>
            <w:rStyle w:val="a8"/>
            <w:lang w:val="en-US"/>
          </w:rPr>
          <w:t>doi</w:t>
        </w:r>
        <w:r w:rsidRPr="009147E0">
          <w:rPr>
            <w:rStyle w:val="a8"/>
          </w:rPr>
          <w:t>.</w:t>
        </w:r>
        <w:r w:rsidRPr="009147E0">
          <w:rPr>
            <w:rStyle w:val="a8"/>
            <w:lang w:val="en-US"/>
          </w:rPr>
          <w:t>org</w:t>
        </w:r>
        <w:r w:rsidRPr="009147E0">
          <w:rPr>
            <w:rStyle w:val="a8"/>
          </w:rPr>
          <w:t>/10.3367/</w:t>
        </w:r>
        <w:r w:rsidRPr="009147E0">
          <w:rPr>
            <w:rStyle w:val="a8"/>
            <w:lang w:val="en-US"/>
          </w:rPr>
          <w:t>UFNr</w:t>
        </w:r>
        <w:r w:rsidRPr="009147E0">
          <w:rPr>
            <w:rStyle w:val="a8"/>
          </w:rPr>
          <w:t>.0178.200805</w:t>
        </w:r>
        <w:r w:rsidRPr="009147E0">
          <w:rPr>
            <w:rStyle w:val="a8"/>
            <w:lang w:val="en-US"/>
          </w:rPr>
          <w:t>f</w:t>
        </w:r>
        <w:r w:rsidRPr="009147E0">
          <w:rPr>
            <w:rStyle w:val="a8"/>
          </w:rPr>
          <w:t>.0519</w:t>
        </w:r>
      </w:hyperlink>
    </w:p>
    <w:sectPr w:rsidR="00DF3208" w:rsidRPr="00DF3208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46" w:rsidRDefault="001E6B46">
      <w:r>
        <w:separator/>
      </w:r>
    </w:p>
  </w:endnote>
  <w:endnote w:type="continuationSeparator" w:id="0">
    <w:p w:rsidR="001E6B46" w:rsidRDefault="001E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B38DB" w:rsidP="00654A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35037"/>
      <w:docPartObj>
        <w:docPartGallery w:val="Page Numbers (Bottom of Page)"/>
        <w:docPartUnique/>
      </w:docPartObj>
    </w:sdtPr>
    <w:sdtContent>
      <w:p w:rsidR="007D7EE5" w:rsidRDefault="000B38DB">
        <w:pPr>
          <w:pStyle w:val="a4"/>
          <w:jc w:val="center"/>
        </w:pPr>
        <w:fldSimple w:instr=" PAGE   \* MERGEFORMAT ">
          <w:r w:rsidR="00783255">
            <w:rPr>
              <w:noProof/>
            </w:rPr>
            <w:t>1</w:t>
          </w:r>
        </w:fldSimple>
        <w:r w:rsidR="007D7EE5">
          <w:rPr>
            <w:lang w:val="en-US"/>
          </w:rPr>
          <w:t>84</w:t>
        </w:r>
      </w:p>
    </w:sdtContent>
  </w:sdt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46" w:rsidRDefault="001E6B46">
      <w:r>
        <w:separator/>
      </w:r>
    </w:p>
  </w:footnote>
  <w:footnote w:type="continuationSeparator" w:id="0">
    <w:p w:rsidR="001E6B46" w:rsidRDefault="001E6B46">
      <w:r>
        <w:continuationSeparator/>
      </w:r>
    </w:p>
  </w:footnote>
  <w:footnote w:id="1">
    <w:p w:rsidR="00783255" w:rsidRPr="00783255" w:rsidRDefault="00783255">
      <w:pPr>
        <w:pStyle w:val="a9"/>
        <w:rPr>
          <w:lang w:val="en-US"/>
        </w:rPr>
      </w:pPr>
      <w:r>
        <w:rPr>
          <w:rStyle w:val="ab"/>
        </w:rPr>
        <w:t>*)</w:t>
      </w:r>
      <w:r>
        <w:t xml:space="preserve"> </w:t>
      </w:r>
      <w:r w:rsidRPr="00783255">
        <w:t xml:space="preserve"> </w:t>
      </w:r>
      <w:hyperlink r:id="rId1" w:history="1">
        <w:r w:rsidRPr="00783255">
          <w:rPr>
            <w:rStyle w:val="a8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XLIX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C62CFE" w:rsidRPr="00DF3208">
      <w:rPr>
        <w:sz w:val="20"/>
      </w:rPr>
      <w:t>14</w:t>
    </w:r>
    <w:r w:rsidR="00C62CFE">
      <w:rPr>
        <w:sz w:val="20"/>
      </w:rPr>
      <w:t xml:space="preserve"> – </w:t>
    </w:r>
    <w:r w:rsidR="00C62CFE" w:rsidRPr="00DF3208">
      <w:rPr>
        <w:sz w:val="20"/>
      </w:rPr>
      <w:t>18</w:t>
    </w:r>
    <w:r w:rsidR="00C62CFE">
      <w:rPr>
        <w:sz w:val="20"/>
      </w:rPr>
      <w:t xml:space="preserve"> марта 20</w:t>
    </w:r>
    <w:r w:rsidR="00C62CFE" w:rsidRPr="00DF3208">
      <w:rPr>
        <w:sz w:val="20"/>
      </w:rPr>
      <w:t>22</w:t>
    </w:r>
    <w:r w:rsidR="00C62CFE">
      <w:rPr>
        <w:sz w:val="20"/>
      </w:rPr>
      <w:t xml:space="preserve"> г.</w:t>
    </w:r>
  </w:p>
  <w:p w:rsidR="00654A7B" w:rsidRDefault="000B38D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0"/>
    <w:lvl w:ilvl="0">
      <w:start w:val="1"/>
      <w:numFmt w:val="decimal"/>
      <w:pStyle w:val="reference"/>
      <w:lvlText w:val="[%1]"/>
      <w:lvlJc w:val="left"/>
      <w:pPr>
        <w:tabs>
          <w:tab w:val="num" w:pos="562"/>
        </w:tabs>
        <w:ind w:left="562" w:hanging="420"/>
      </w:pPr>
      <w:rPr>
        <w:rFonts w:hint="default"/>
      </w:rPr>
    </w:lvl>
  </w:abstractNum>
  <w:abstractNum w:abstractNumId="1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1C10"/>
    <w:rsid w:val="00037DCC"/>
    <w:rsid w:val="00043701"/>
    <w:rsid w:val="00054B6F"/>
    <w:rsid w:val="000B38DB"/>
    <w:rsid w:val="000C7078"/>
    <w:rsid w:val="000D76E9"/>
    <w:rsid w:val="000E495B"/>
    <w:rsid w:val="000F1C10"/>
    <w:rsid w:val="00140645"/>
    <w:rsid w:val="00171964"/>
    <w:rsid w:val="001C0CCB"/>
    <w:rsid w:val="001E6B46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83255"/>
    <w:rsid w:val="007B6378"/>
    <w:rsid w:val="007D7EE5"/>
    <w:rsid w:val="00802D35"/>
    <w:rsid w:val="008E2894"/>
    <w:rsid w:val="009352E6"/>
    <w:rsid w:val="0094721E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62CFE"/>
    <w:rsid w:val="00CA791E"/>
    <w:rsid w:val="00CE0E75"/>
    <w:rsid w:val="00D44852"/>
    <w:rsid w:val="00D47F19"/>
    <w:rsid w:val="00DA4715"/>
    <w:rsid w:val="00DE16AD"/>
    <w:rsid w:val="00DF1C1D"/>
    <w:rsid w:val="00DF3208"/>
    <w:rsid w:val="00DF6D4D"/>
    <w:rsid w:val="00E1331D"/>
    <w:rsid w:val="00E7021A"/>
    <w:rsid w:val="00E87733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208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8">
    <w:name w:val="Hyperlink"/>
    <w:rsid w:val="00DF3208"/>
    <w:rPr>
      <w:color w:val="0000FF"/>
      <w:u w:val="single"/>
    </w:rPr>
  </w:style>
  <w:style w:type="paragraph" w:customStyle="1" w:styleId="Abstracttext">
    <w:name w:val="Abstract text"/>
    <w:basedOn w:val="a"/>
    <w:link w:val="AbstracttextChar"/>
    <w:uiPriority w:val="49"/>
    <w:qFormat/>
    <w:rsid w:val="00DF3208"/>
    <w:pPr>
      <w:spacing w:line="240" w:lineRule="atLeast"/>
      <w:ind w:firstLine="567"/>
      <w:contextualSpacing/>
    </w:pPr>
    <w:rPr>
      <w:sz w:val="18"/>
      <w:szCs w:val="20"/>
      <w:lang w:val="en-US" w:eastAsia="en-US"/>
    </w:rPr>
  </w:style>
  <w:style w:type="character" w:customStyle="1" w:styleId="AbstracttextChar">
    <w:name w:val="Abstract text Char"/>
    <w:link w:val="Abstracttext"/>
    <w:uiPriority w:val="49"/>
    <w:rsid w:val="00DF3208"/>
    <w:rPr>
      <w:sz w:val="18"/>
      <w:lang w:val="en-US" w:eastAsia="en-US"/>
    </w:rPr>
  </w:style>
  <w:style w:type="paragraph" w:customStyle="1" w:styleId="reference">
    <w:name w:val="reference"/>
    <w:basedOn w:val="a"/>
    <w:rsid w:val="00DF3208"/>
    <w:pPr>
      <w:widowControl w:val="0"/>
      <w:numPr>
        <w:numId w:val="8"/>
      </w:numPr>
      <w:snapToGrid w:val="0"/>
      <w:spacing w:line="240" w:lineRule="atLeast"/>
      <w:jc w:val="both"/>
    </w:pPr>
    <w:rPr>
      <w:rFonts w:ascii="Times" w:eastAsia="MS Mincho" w:hAnsi="Times"/>
      <w:kern w:val="2"/>
      <w:sz w:val="18"/>
      <w:szCs w:val="20"/>
      <w:lang w:val="en-US" w:eastAsia="ja-JP"/>
    </w:rPr>
  </w:style>
  <w:style w:type="character" w:customStyle="1" w:styleId="a5">
    <w:name w:val="Нижний колонтитул Знак"/>
    <w:basedOn w:val="a0"/>
    <w:link w:val="a4"/>
    <w:uiPriority w:val="99"/>
    <w:rsid w:val="007D7EE5"/>
    <w:rPr>
      <w:sz w:val="24"/>
      <w:szCs w:val="24"/>
    </w:rPr>
  </w:style>
  <w:style w:type="paragraph" w:styleId="a9">
    <w:name w:val="footnote text"/>
    <w:basedOn w:val="a"/>
    <w:link w:val="aa"/>
    <w:rsid w:val="0078325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83255"/>
  </w:style>
  <w:style w:type="character" w:styleId="ab">
    <w:name w:val="footnote reference"/>
    <w:basedOn w:val="a0"/>
    <w:rsid w:val="007832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kez_DI@nrck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67/UFNr.0178.200805f.051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IX/Pt/en/GG-Cherkez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2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5577D-8878-414A-B9E5-9D338B61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Zven_2022_r.dotx</Template>
  <TotalTime>6</TotalTime>
  <Pages>1</Pages>
  <Words>409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ДЛЯ ИЗУЧЕНИЯ ВЗАИМОДЕЙСТВИЯ ПЛАЗМЫ С МАТЕРИАЛАМИ НА ОСНОВЕ ВЧ-ИСТОЧНИКА ГЕЛИКОННОГО ТИПА: ПЕРВЫЕ РЕЗУЛЬТАТЫ</dc:title>
  <dc:creator/>
  <cp:lastModifiedBy>Сатунин</cp:lastModifiedBy>
  <cp:revision>4</cp:revision>
  <cp:lastPrinted>1601-01-01T00:00:00Z</cp:lastPrinted>
  <dcterms:created xsi:type="dcterms:W3CDTF">2022-01-27T11:19:00Z</dcterms:created>
  <dcterms:modified xsi:type="dcterms:W3CDTF">2022-03-31T19:47:00Z</dcterms:modified>
</cp:coreProperties>
</file>