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7D" w:rsidRPr="00043279" w:rsidRDefault="00043279" w:rsidP="00043279">
      <w:pPr>
        <w:pStyle w:val="Zv-Titlereport"/>
        <w:spacing w:line="235" w:lineRule="auto"/>
        <w:rPr>
          <w:lang w:val="en-US"/>
        </w:rPr>
      </w:pPr>
      <w:r w:rsidRPr="0004327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43279" w:rsidRPr="0095603D" w:rsidRDefault="00043279" w:rsidP="003B6459">
                  <w:pPr>
                    <w:spacing w:before="80"/>
                    <w:rPr>
                      <w:sz w:val="22"/>
                      <w:szCs w:val="22"/>
                    </w:rPr>
                  </w:pPr>
                  <w:r w:rsidRPr="0095603D">
                    <w:rPr>
                      <w:sz w:val="22"/>
                      <w:szCs w:val="22"/>
                    </w:rPr>
                    <w:t>DOI:</w:t>
                  </w:r>
                  <w:r>
                    <w:rPr>
                      <w:sz w:val="22"/>
                      <w:szCs w:val="22"/>
                    </w:rPr>
                    <w:t xml:space="preserve"> </w:t>
                  </w:r>
                  <w:r w:rsidRPr="00043279">
                    <w:rPr>
                      <w:sz w:val="22"/>
                      <w:szCs w:val="22"/>
                    </w:rPr>
                    <w:t>10.34854/ICPAF.2022.49.1.149</w:t>
                  </w:r>
                </w:p>
              </w:txbxContent>
            </v:textbox>
            <w10:anchorlock/>
          </v:shape>
        </w:pict>
      </w:r>
      <w:r w:rsidR="00CD187D">
        <w:rPr>
          <w:lang w:val="en-US"/>
        </w:rPr>
        <w:t xml:space="preserve">A </w:t>
      </w:r>
      <w:r w:rsidR="00CD187D" w:rsidRPr="00043279">
        <w:rPr>
          <w:lang w:val="en-US"/>
        </w:rPr>
        <w:t>POSSIBILITY OF PLATINUM CATALYST SYNTHESIS IN A MICROWAVE subTHRESHOLD DISCHARGE</w:t>
      </w:r>
      <w:r>
        <w:rPr>
          <w:lang w:val="en-US"/>
        </w:rPr>
        <w:t xml:space="preserve"> </w:t>
      </w:r>
      <w:r>
        <w:rPr>
          <w:rStyle w:val="aa"/>
          <w:lang w:val="en-US"/>
        </w:rPr>
        <w:footnoteReference w:customMarkFollows="1" w:id="1"/>
        <w:t>*)</w:t>
      </w:r>
    </w:p>
    <w:p w:rsidR="00CD187D" w:rsidRPr="00673D29" w:rsidRDefault="00CD187D" w:rsidP="00043279">
      <w:pPr>
        <w:pStyle w:val="Zv-Author"/>
        <w:spacing w:line="235" w:lineRule="auto"/>
        <w:rPr>
          <w:lang w:val="en-US"/>
        </w:rPr>
      </w:pPr>
      <w:r w:rsidRPr="00673D29">
        <w:rPr>
          <w:vertAlign w:val="superscript"/>
          <w:lang w:val="en-US"/>
        </w:rPr>
        <w:t>1,2</w:t>
      </w:r>
      <w:r w:rsidRPr="000C26C4">
        <w:rPr>
          <w:lang w:val="en-US"/>
        </w:rPr>
        <w:t>Akmadullina</w:t>
      </w:r>
      <w:r>
        <w:rPr>
          <w:lang w:val="en-US"/>
        </w:rPr>
        <w:t xml:space="preserve"> N.S.</w:t>
      </w:r>
      <w:r w:rsidRPr="00673D29">
        <w:rPr>
          <w:lang w:val="en-US"/>
        </w:rPr>
        <w:t xml:space="preserve">, </w:t>
      </w:r>
      <w:r w:rsidRPr="00673D29">
        <w:rPr>
          <w:vertAlign w:val="superscript"/>
          <w:lang w:val="en-US"/>
        </w:rPr>
        <w:t>2</w:t>
      </w:r>
      <w:r>
        <w:rPr>
          <w:lang w:val="en-US"/>
        </w:rPr>
        <w:t>Batanov G.M.</w:t>
      </w:r>
      <w:r w:rsidRPr="00673D29">
        <w:rPr>
          <w:lang w:val="en-US"/>
        </w:rPr>
        <w:t xml:space="preserve">, </w:t>
      </w:r>
      <w:r w:rsidRPr="00673D29">
        <w:rPr>
          <w:vertAlign w:val="superscript"/>
          <w:lang w:val="en-US"/>
        </w:rPr>
        <w:t>2</w:t>
      </w:r>
      <w:r>
        <w:rPr>
          <w:u w:val="single"/>
          <w:lang w:val="en-US"/>
        </w:rPr>
        <w:t>Borzosekov V.D.</w:t>
      </w:r>
      <w:r w:rsidRPr="00673D29">
        <w:rPr>
          <w:lang w:val="en-US"/>
        </w:rPr>
        <w:t xml:space="preserve">, </w:t>
      </w:r>
      <w:r w:rsidRPr="00673D29">
        <w:rPr>
          <w:vertAlign w:val="superscript"/>
          <w:lang w:val="en-US"/>
        </w:rPr>
        <w:t>2</w:t>
      </w:r>
      <w:r>
        <w:rPr>
          <w:lang w:val="en-US"/>
        </w:rPr>
        <w:t>Voronova E.V.</w:t>
      </w:r>
      <w:r w:rsidRPr="00673D29">
        <w:rPr>
          <w:lang w:val="en-US"/>
        </w:rPr>
        <w:t xml:space="preserve">, </w:t>
      </w:r>
      <w:r w:rsidRPr="00673D29">
        <w:rPr>
          <w:vertAlign w:val="superscript"/>
          <w:lang w:val="en-US"/>
        </w:rPr>
        <w:t>2</w:t>
      </w:r>
      <w:r w:rsidRPr="0062754F">
        <w:rPr>
          <w:lang w:val="en-US"/>
        </w:rPr>
        <w:t>Gusein</w:t>
      </w:r>
      <w:r>
        <w:rPr>
          <w:lang w:val="en-US"/>
        </w:rPr>
        <w:noBreakHyphen/>
      </w:r>
      <w:r w:rsidRPr="0062754F">
        <w:rPr>
          <w:lang w:val="en-US"/>
        </w:rPr>
        <w:t>zade</w:t>
      </w:r>
      <w:r>
        <w:rPr>
          <w:lang w:val="en-US"/>
        </w:rPr>
        <w:t> N.G</w:t>
      </w:r>
      <w:r w:rsidRPr="00673D29">
        <w:rPr>
          <w:lang w:val="en-US"/>
        </w:rPr>
        <w:t xml:space="preserve">., </w:t>
      </w:r>
      <w:r w:rsidRPr="00673D29">
        <w:rPr>
          <w:vertAlign w:val="superscript"/>
          <w:lang w:val="en-US"/>
        </w:rPr>
        <w:t>2</w:t>
      </w:r>
      <w:r w:rsidRPr="002D26B9">
        <w:rPr>
          <w:lang w:val="en-US"/>
        </w:rPr>
        <w:t xml:space="preserve">Zakletskii </w:t>
      </w:r>
      <w:r>
        <w:rPr>
          <w:lang w:val="en-US"/>
        </w:rPr>
        <w:t>Z.A.</w:t>
      </w:r>
      <w:r w:rsidRPr="00673D29">
        <w:rPr>
          <w:lang w:val="en-US"/>
        </w:rPr>
        <w:t xml:space="preserve">, </w:t>
      </w:r>
      <w:r w:rsidRPr="00673D29">
        <w:rPr>
          <w:vertAlign w:val="superscript"/>
          <w:lang w:val="en-US"/>
        </w:rPr>
        <w:t>2</w:t>
      </w:r>
      <w:r>
        <w:rPr>
          <w:lang w:val="en-US"/>
        </w:rPr>
        <w:t>Kachmar</w:t>
      </w:r>
      <w:r w:rsidRPr="00673D29">
        <w:rPr>
          <w:lang w:val="en-US"/>
        </w:rPr>
        <w:t xml:space="preserve"> </w:t>
      </w:r>
      <w:r>
        <w:rPr>
          <w:lang w:val="en-US"/>
        </w:rPr>
        <w:t>V.V.</w:t>
      </w:r>
      <w:r w:rsidRPr="00673D29">
        <w:rPr>
          <w:lang w:val="en-US"/>
        </w:rPr>
        <w:t xml:space="preserve">, </w:t>
      </w:r>
      <w:r w:rsidRPr="00673D29">
        <w:rPr>
          <w:vertAlign w:val="superscript"/>
          <w:lang w:val="en-US"/>
        </w:rPr>
        <w:t>2</w:t>
      </w:r>
      <w:r>
        <w:rPr>
          <w:lang w:val="en-US"/>
        </w:rPr>
        <w:t>Knyazev A.V.</w:t>
      </w:r>
      <w:r w:rsidRPr="00673D29">
        <w:rPr>
          <w:lang w:val="en-US"/>
        </w:rPr>
        <w:t xml:space="preserve">, </w:t>
      </w:r>
      <w:r w:rsidRPr="00673D29">
        <w:rPr>
          <w:vertAlign w:val="superscript"/>
          <w:lang w:val="en-US"/>
        </w:rPr>
        <w:t>2</w:t>
      </w:r>
      <w:r>
        <w:rPr>
          <w:lang w:val="en-US"/>
        </w:rPr>
        <w:t>Kozak</w:t>
      </w:r>
      <w:r w:rsidRPr="00673D29">
        <w:rPr>
          <w:lang w:val="en-US"/>
        </w:rPr>
        <w:t xml:space="preserve"> </w:t>
      </w:r>
      <w:r>
        <w:rPr>
          <w:lang w:val="en-US"/>
        </w:rPr>
        <w:t>A.K.</w:t>
      </w:r>
      <w:r w:rsidRPr="00673D29">
        <w:rPr>
          <w:lang w:val="en-US"/>
        </w:rPr>
        <w:t xml:space="preserve">, </w:t>
      </w:r>
      <w:r w:rsidRPr="00673D29">
        <w:rPr>
          <w:vertAlign w:val="superscript"/>
          <w:lang w:val="en-US"/>
        </w:rPr>
        <w:t>2</w:t>
      </w:r>
      <w:r>
        <w:rPr>
          <w:lang w:val="en-US"/>
        </w:rPr>
        <w:t>Kolik L.V</w:t>
      </w:r>
      <w:r w:rsidRPr="00673D29">
        <w:rPr>
          <w:lang w:val="en-US"/>
        </w:rPr>
        <w:t xml:space="preserve">., </w:t>
      </w:r>
      <w:r w:rsidRPr="00673D29">
        <w:rPr>
          <w:vertAlign w:val="superscript"/>
          <w:lang w:val="en-US"/>
        </w:rPr>
        <w:t>2</w:t>
      </w:r>
      <w:r>
        <w:rPr>
          <w:lang w:val="en-US"/>
        </w:rPr>
        <w:t>Konchekov E.M.</w:t>
      </w:r>
      <w:r w:rsidRPr="00673D29">
        <w:rPr>
          <w:lang w:val="en-US"/>
        </w:rPr>
        <w:t xml:space="preserve">, </w:t>
      </w:r>
      <w:r w:rsidRPr="00673D29">
        <w:rPr>
          <w:vertAlign w:val="superscript"/>
          <w:lang w:val="en-US"/>
        </w:rPr>
        <w:t>2</w:t>
      </w:r>
      <w:r>
        <w:rPr>
          <w:lang w:val="en-US"/>
        </w:rPr>
        <w:t>Letunov A.A.</w:t>
      </w:r>
      <w:r w:rsidRPr="00673D29">
        <w:rPr>
          <w:lang w:val="en-US"/>
        </w:rPr>
        <w:t xml:space="preserve">, </w:t>
      </w:r>
      <w:r w:rsidRPr="00673D29">
        <w:rPr>
          <w:vertAlign w:val="superscript"/>
          <w:lang w:val="en-US"/>
        </w:rPr>
        <w:t>2</w:t>
      </w:r>
      <w:r>
        <w:rPr>
          <w:lang w:val="en-US"/>
        </w:rPr>
        <w:t>Logvinenko V.P.</w:t>
      </w:r>
      <w:r w:rsidRPr="00673D29">
        <w:rPr>
          <w:lang w:val="en-US"/>
        </w:rPr>
        <w:t xml:space="preserve">, </w:t>
      </w:r>
      <w:r w:rsidRPr="00673D29">
        <w:rPr>
          <w:vertAlign w:val="superscript"/>
          <w:lang w:val="en-US"/>
        </w:rPr>
        <w:t>2</w:t>
      </w:r>
      <w:r>
        <w:rPr>
          <w:lang w:val="en-US"/>
        </w:rPr>
        <w:t>Malakhov D.V.</w:t>
      </w:r>
      <w:r w:rsidRPr="00673D29">
        <w:rPr>
          <w:lang w:val="en-US"/>
        </w:rPr>
        <w:t xml:space="preserve">, </w:t>
      </w:r>
      <w:r w:rsidRPr="00673D29">
        <w:rPr>
          <w:vertAlign w:val="superscript"/>
          <w:lang w:val="en-US"/>
        </w:rPr>
        <w:t>2</w:t>
      </w:r>
      <w:r>
        <w:rPr>
          <w:lang w:val="en-US"/>
        </w:rPr>
        <w:t>Moshkina K.G.</w:t>
      </w:r>
      <w:r w:rsidRPr="00673D29">
        <w:rPr>
          <w:lang w:val="en-US"/>
        </w:rPr>
        <w:t xml:space="preserve">, </w:t>
      </w:r>
      <w:r w:rsidRPr="00673D29">
        <w:rPr>
          <w:vertAlign w:val="superscript"/>
          <w:lang w:val="en-US"/>
        </w:rPr>
        <w:t>2,3</w:t>
      </w:r>
      <w:r>
        <w:rPr>
          <w:lang w:val="en-US"/>
        </w:rPr>
        <w:t>Obraztsova E.A.</w:t>
      </w:r>
      <w:r w:rsidRPr="00673D29">
        <w:rPr>
          <w:lang w:val="en-US"/>
        </w:rPr>
        <w:t xml:space="preserve">, </w:t>
      </w:r>
      <w:r w:rsidRPr="00673D29">
        <w:rPr>
          <w:vertAlign w:val="superscript"/>
          <w:lang w:val="en-US"/>
        </w:rPr>
        <w:t>2</w:t>
      </w:r>
      <w:r>
        <w:rPr>
          <w:lang w:val="en-US"/>
        </w:rPr>
        <w:t>Petrov A.E.</w:t>
      </w:r>
      <w:r w:rsidRPr="00673D29">
        <w:rPr>
          <w:lang w:val="en-US"/>
        </w:rPr>
        <w:t xml:space="preserve">, </w:t>
      </w:r>
      <w:r w:rsidRPr="00673D29">
        <w:rPr>
          <w:vertAlign w:val="superscript"/>
          <w:lang w:val="en-US"/>
        </w:rPr>
        <w:t>2</w:t>
      </w:r>
      <w:r w:rsidRPr="00F267C7">
        <w:rPr>
          <w:lang w:val="en-US"/>
        </w:rPr>
        <w:t>Skvortsova</w:t>
      </w:r>
      <w:r w:rsidRPr="00673D29">
        <w:rPr>
          <w:lang w:val="en-US"/>
        </w:rPr>
        <w:t xml:space="preserve"> </w:t>
      </w:r>
      <w:r>
        <w:rPr>
          <w:lang w:val="en-US"/>
        </w:rPr>
        <w:t>N.N</w:t>
      </w:r>
      <w:r w:rsidRPr="00673D29">
        <w:rPr>
          <w:lang w:val="en-US"/>
        </w:rPr>
        <w:t xml:space="preserve">., </w:t>
      </w:r>
      <w:r w:rsidRPr="00673D29">
        <w:rPr>
          <w:vertAlign w:val="superscript"/>
          <w:lang w:val="en-US"/>
        </w:rPr>
        <w:t>2</w:t>
      </w:r>
      <w:r>
        <w:rPr>
          <w:lang w:val="en-US"/>
        </w:rPr>
        <w:t>Sokolov</w:t>
      </w:r>
      <w:r w:rsidRPr="00673D29">
        <w:rPr>
          <w:lang w:val="en-US"/>
        </w:rPr>
        <w:t xml:space="preserve"> </w:t>
      </w:r>
      <w:r>
        <w:rPr>
          <w:lang w:val="en-US"/>
        </w:rPr>
        <w:t>A</w:t>
      </w:r>
      <w:r w:rsidRPr="00673D29">
        <w:rPr>
          <w:lang w:val="en-US"/>
        </w:rPr>
        <w:t>.</w:t>
      </w:r>
      <w:r>
        <w:rPr>
          <w:lang w:val="en-US"/>
        </w:rPr>
        <w:t>S</w:t>
      </w:r>
      <w:r w:rsidRPr="00673D29">
        <w:rPr>
          <w:lang w:val="en-US"/>
        </w:rPr>
        <w:t xml:space="preserve">., </w:t>
      </w:r>
      <w:r w:rsidRPr="00673D29">
        <w:rPr>
          <w:vertAlign w:val="superscript"/>
          <w:lang w:val="en-US"/>
        </w:rPr>
        <w:t>2</w:t>
      </w:r>
      <w:r>
        <w:rPr>
          <w:lang w:val="en-US"/>
        </w:rPr>
        <w:t>Stepakhin</w:t>
      </w:r>
      <w:r w:rsidRPr="00673D29">
        <w:rPr>
          <w:lang w:val="en-US"/>
        </w:rPr>
        <w:t xml:space="preserve"> </w:t>
      </w:r>
      <w:r>
        <w:rPr>
          <w:lang w:val="en-US"/>
        </w:rPr>
        <w:t>V.D.</w:t>
      </w:r>
      <w:r w:rsidRPr="00673D29">
        <w:rPr>
          <w:lang w:val="en-US"/>
        </w:rPr>
        <w:t xml:space="preserve">, </w:t>
      </w:r>
      <w:r w:rsidRPr="00673D29">
        <w:rPr>
          <w:vertAlign w:val="superscript"/>
          <w:lang w:val="en-US"/>
        </w:rPr>
        <w:t>2</w:t>
      </w:r>
      <w:r>
        <w:rPr>
          <w:lang w:val="en-US"/>
        </w:rPr>
        <w:t>Kharchev N.K.</w:t>
      </w:r>
      <w:r w:rsidRPr="00673D29">
        <w:rPr>
          <w:lang w:val="en-US"/>
        </w:rPr>
        <w:t xml:space="preserve">, </w:t>
      </w:r>
      <w:r w:rsidRPr="00673D29">
        <w:rPr>
          <w:vertAlign w:val="superscript"/>
          <w:lang w:val="en-US"/>
        </w:rPr>
        <w:t>2,4</w:t>
      </w:r>
      <w:r>
        <w:rPr>
          <w:lang w:val="en-US"/>
        </w:rPr>
        <w:t>Shishilov O.N.</w:t>
      </w:r>
    </w:p>
    <w:p w:rsidR="00CD187D" w:rsidRPr="00317F67" w:rsidRDefault="00CD187D" w:rsidP="00043279">
      <w:pPr>
        <w:pStyle w:val="Zv-Organization"/>
        <w:spacing w:line="235" w:lineRule="auto"/>
        <w:rPr>
          <w:lang w:val="en-US"/>
        </w:rPr>
      </w:pPr>
      <w:r w:rsidRPr="00317F67">
        <w:rPr>
          <w:vertAlign w:val="superscript"/>
          <w:lang w:val="en-US"/>
        </w:rPr>
        <w:t>1</w:t>
      </w:r>
      <w:r w:rsidRPr="00317F67">
        <w:rPr>
          <w:lang w:val="en-US"/>
        </w:rPr>
        <w:t>Baikov Institute of Metallurgy and Materials Science of</w:t>
      </w:r>
      <w:r>
        <w:rPr>
          <w:lang w:val="en-US"/>
        </w:rPr>
        <w:t xml:space="preserve"> the</w:t>
      </w:r>
      <w:r w:rsidRPr="00317F67">
        <w:rPr>
          <w:lang w:val="en-US"/>
        </w:rPr>
        <w:t xml:space="preserve"> Russian Academy of Sciences</w:t>
      </w:r>
      <w:r w:rsidRPr="00317F67">
        <w:rPr>
          <w:lang w:val="en-US"/>
        </w:rPr>
        <w:br/>
      </w:r>
      <w:r w:rsidRPr="00317F67">
        <w:rPr>
          <w:vertAlign w:val="superscript"/>
          <w:lang w:val="en-US"/>
        </w:rPr>
        <w:t>2</w:t>
      </w:r>
      <w:r>
        <w:rPr>
          <w:lang w:val="en-US"/>
        </w:rPr>
        <w:t xml:space="preserve">Prokhorov General Physics Intstitute of the </w:t>
      </w:r>
      <w:r w:rsidRPr="00317F67">
        <w:rPr>
          <w:lang w:val="en-US"/>
        </w:rPr>
        <w:t>Russian Academy of Sciences,</w:t>
      </w:r>
      <w:r>
        <w:rPr>
          <w:lang w:val="en-US"/>
        </w:rPr>
        <w:br/>
        <w:t xml:space="preserve">    </w:t>
      </w:r>
      <w:r w:rsidRPr="00317F67">
        <w:rPr>
          <w:lang w:val="en-US"/>
        </w:rPr>
        <w:t xml:space="preserve"> </w:t>
      </w:r>
      <w:hyperlink r:id="rId8" w:history="1">
        <w:r w:rsidRPr="005D30D0">
          <w:rPr>
            <w:rStyle w:val="a7"/>
            <w:lang w:val="en-US"/>
          </w:rPr>
          <w:t>borzosekov@fpl.gpi.ru</w:t>
        </w:r>
      </w:hyperlink>
      <w:r>
        <w:rPr>
          <w:lang w:val="en-US"/>
        </w:rPr>
        <w:br/>
      </w:r>
      <w:r w:rsidRPr="00317F67">
        <w:rPr>
          <w:vertAlign w:val="superscript"/>
          <w:lang w:val="en-US"/>
        </w:rPr>
        <w:t>3</w:t>
      </w:r>
      <w:r w:rsidRPr="00317F67">
        <w:rPr>
          <w:lang w:val="en-US"/>
        </w:rPr>
        <w:t>Shemyakin and Ovchinnikov Institute of Bioorganic Chemistry</w:t>
      </w:r>
      <w:r>
        <w:rPr>
          <w:lang w:val="en-US"/>
        </w:rPr>
        <w:t xml:space="preserve"> </w:t>
      </w:r>
      <w:r w:rsidRPr="00317F67">
        <w:rPr>
          <w:lang w:val="en-US"/>
        </w:rPr>
        <w:t>of</w:t>
      </w:r>
      <w:r>
        <w:rPr>
          <w:lang w:val="en-US"/>
        </w:rPr>
        <w:t xml:space="preserve"> the</w:t>
      </w:r>
      <w:r w:rsidRPr="00317F67">
        <w:rPr>
          <w:lang w:val="en-US"/>
        </w:rPr>
        <w:t xml:space="preserve"> Russian Academy</w:t>
      </w:r>
      <w:r>
        <w:rPr>
          <w:lang w:val="en-US"/>
        </w:rPr>
        <w:br/>
        <w:t xml:space="preserve">    </w:t>
      </w:r>
      <w:r w:rsidRPr="00317F67">
        <w:rPr>
          <w:lang w:val="en-US"/>
        </w:rPr>
        <w:t xml:space="preserve"> of Sciences</w:t>
      </w:r>
      <w:r>
        <w:rPr>
          <w:lang w:val="en-US"/>
        </w:rPr>
        <w:t xml:space="preserve"> </w:t>
      </w:r>
      <w:r w:rsidRPr="00317F67">
        <w:rPr>
          <w:lang w:val="en-US"/>
        </w:rPr>
        <w:br/>
      </w:r>
      <w:r w:rsidRPr="00317F67">
        <w:rPr>
          <w:vertAlign w:val="superscript"/>
          <w:lang w:val="en-US"/>
        </w:rPr>
        <w:t>4</w:t>
      </w:r>
      <w:r w:rsidRPr="00317F67">
        <w:rPr>
          <w:lang w:val="en-US"/>
        </w:rPr>
        <w:t>MIREA – Russian Technological University</w:t>
      </w:r>
    </w:p>
    <w:p w:rsidR="00CD187D" w:rsidRPr="00043279" w:rsidRDefault="00CD187D" w:rsidP="00043279">
      <w:pPr>
        <w:pStyle w:val="Zv-bodyreport"/>
        <w:spacing w:line="235" w:lineRule="auto"/>
        <w:rPr>
          <w:lang w:val="en-US"/>
        </w:rPr>
      </w:pPr>
      <w:r w:rsidRPr="00043279">
        <w:rPr>
          <w:lang w:val="en-US"/>
        </w:rPr>
        <w:t>The GPI RAS (Moscow, Russia) is implementing a project for the synthesis of micro and nanoparticles with a controlled composition and structure based on a microwave discharge initiated by gyrotron radiation. The feature of this approach lies in the primary initiation of a discharge in the near-surface layer of a powders mixture at metal-dielectric contacts within the microwave beam. The interaction of powder particles with plasma leads to the evaporation of the substance, modification of the particle surface and the occurrence of plasma-chemical reactions. There is always a threshold for the intensity of microwave radiation, below which it is not possible to initiate the discharge. In order to ensure the interaction of particles of target powders with plasma even in the absence of breakdown at metal-dielectric contacts, an experimental configuration was proposed that is more typical for solving applied environmental and plasma-chemical problems [2]. Microwave radiation, not experiencing significant attenuation in the mixture of powders, hits the initiator, where local gas breakdowns occur, and a discharge begins to develop, propagating along the beam towards the radiation source. The gas temperature in the discharge reaches 6000 K, and the plasma density is 10</w:t>
      </w:r>
      <w:r w:rsidRPr="00043279">
        <w:rPr>
          <w:vertAlign w:val="superscript"/>
          <w:lang w:val="en-US"/>
        </w:rPr>
        <w:t>17</w:t>
      </w:r>
      <w:r w:rsidRPr="00043279">
        <w:rPr>
          <w:lang w:val="en-US"/>
        </w:rPr>
        <w:t xml:space="preserve"> cm</w:t>
      </w:r>
      <w:r w:rsidRPr="00043279">
        <w:rPr>
          <w:vertAlign w:val="superscript"/>
          <w:lang w:val="en-US"/>
        </w:rPr>
        <w:t>-3</w:t>
      </w:r>
      <w:r w:rsidRPr="00043279">
        <w:rPr>
          <w:lang w:val="en-US"/>
        </w:rPr>
        <w:t>. The results of the first experiments (Fig. 1) with a mixture of Al</w:t>
      </w:r>
      <w:r w:rsidRPr="00043279">
        <w:rPr>
          <w:vertAlign w:val="subscript"/>
          <w:lang w:val="en-US"/>
        </w:rPr>
        <w:t>2</w:t>
      </w:r>
      <w:r w:rsidRPr="00043279">
        <w:rPr>
          <w:lang w:val="en-US"/>
        </w:rPr>
        <w:t>O</w:t>
      </w:r>
      <w:r w:rsidRPr="00043279">
        <w:rPr>
          <w:vertAlign w:val="subscript"/>
          <w:lang w:val="en-US"/>
        </w:rPr>
        <w:t>3</w:t>
      </w:r>
      <w:r w:rsidRPr="00043279">
        <w:rPr>
          <w:lang w:val="en-US"/>
        </w:rPr>
        <w:t xml:space="preserve"> and Pt powders showed that the interaction of powder particles with the plasma of a subthreshold microwave gas discharge leads to the coating of carrier microparticles (Al</w:t>
      </w:r>
      <w:r w:rsidRPr="00043279">
        <w:rPr>
          <w:vertAlign w:val="subscript"/>
          <w:lang w:val="en-US"/>
        </w:rPr>
        <w:t>2</w:t>
      </w:r>
      <w:r w:rsidRPr="00043279">
        <w:rPr>
          <w:lang w:val="en-US"/>
        </w:rPr>
        <w:t>O</w:t>
      </w:r>
      <w:r w:rsidRPr="00043279">
        <w:rPr>
          <w:vertAlign w:val="subscript"/>
          <w:lang w:val="en-US"/>
        </w:rPr>
        <w:t>3</w:t>
      </w:r>
      <w:r w:rsidRPr="00043279">
        <w:rPr>
          <w:lang w:val="en-US"/>
        </w:rPr>
        <w:t>) with platinum nanoparticles. Such coated particles are similar to those used as catalysts in chemical manufacturing processes.</w:t>
      </w:r>
    </w:p>
    <w:p w:rsidR="00CD187D" w:rsidRDefault="00CD187D" w:rsidP="00043279">
      <w:pPr>
        <w:pStyle w:val="Zv-bodyreport"/>
        <w:spacing w:line="235" w:lineRule="auto"/>
        <w:jc w:val="center"/>
        <w:rPr>
          <w:lang w:val="en-US"/>
        </w:rPr>
      </w:pPr>
      <w:r>
        <w:rPr>
          <w:noProof/>
        </w:rPr>
        <w:drawing>
          <wp:inline distT="0" distB="0" distL="0" distR="0">
            <wp:extent cx="5501941" cy="1980000"/>
            <wp:effectExtent l="0" t="0" r="3810" b="127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Рисунок 196"/>
                    <pic:cNvPicPr>
                      <a:picLocks noChangeAspect="1"/>
                    </pic:cNvPicPr>
                  </pic:nvPicPr>
                  <pic:blipFill>
                    <a:blip r:embed="rId9" cstate="print"/>
                    <a:srcRect l="3848" t="33650" r="18332" b="16540"/>
                    <a:stretch>
                      <a:fillRect/>
                    </a:stretch>
                  </pic:blipFill>
                  <pic:spPr>
                    <a:xfrm>
                      <a:off x="0" y="0"/>
                      <a:ext cx="5501941" cy="1980000"/>
                    </a:xfrm>
                    <a:prstGeom prst="rect">
                      <a:avLst/>
                    </a:prstGeom>
                    <a:ln>
                      <a:noFill/>
                    </a:ln>
                  </pic:spPr>
                </pic:pic>
              </a:graphicData>
            </a:graphic>
          </wp:inline>
        </w:drawing>
      </w:r>
    </w:p>
    <w:p w:rsidR="00CD187D" w:rsidRPr="00EA35BE" w:rsidRDefault="00CD187D" w:rsidP="00043279">
      <w:pPr>
        <w:pStyle w:val="Zv-bodyreport"/>
        <w:spacing w:line="235" w:lineRule="auto"/>
        <w:rPr>
          <w:lang w:val="en-US"/>
        </w:rPr>
      </w:pPr>
      <w:r>
        <w:rPr>
          <w:sz w:val="20"/>
          <w:lang w:val="en-US"/>
        </w:rPr>
        <w:t>Fig</w:t>
      </w:r>
      <w:r w:rsidRPr="00EA35BE">
        <w:rPr>
          <w:sz w:val="20"/>
          <w:lang w:val="en-US"/>
        </w:rPr>
        <w:t xml:space="preserve">.1. </w:t>
      </w:r>
      <w:r>
        <w:rPr>
          <w:sz w:val="20"/>
          <w:lang w:val="en-US"/>
        </w:rPr>
        <w:t>SEM image and material composition maps obtained with EDS analysis of the specimen</w:t>
      </w:r>
      <w:r w:rsidRPr="00EA35BE">
        <w:rPr>
          <w:sz w:val="20"/>
          <w:lang w:val="en-US"/>
        </w:rPr>
        <w:t xml:space="preserve"> Al</w:t>
      </w:r>
      <w:r w:rsidRPr="00EA35BE">
        <w:rPr>
          <w:sz w:val="20"/>
          <w:vertAlign w:val="subscript"/>
          <w:lang w:val="en-US"/>
        </w:rPr>
        <w:t>2</w:t>
      </w:r>
      <w:r w:rsidRPr="00EA35BE">
        <w:rPr>
          <w:sz w:val="20"/>
          <w:lang w:val="en-US"/>
        </w:rPr>
        <w:t>O</w:t>
      </w:r>
      <w:r w:rsidRPr="00EA35BE">
        <w:rPr>
          <w:sz w:val="20"/>
          <w:vertAlign w:val="subscript"/>
          <w:lang w:val="en-US"/>
        </w:rPr>
        <w:t>3</w:t>
      </w:r>
      <w:r w:rsidRPr="00EA35BE">
        <w:rPr>
          <w:sz w:val="20"/>
          <w:lang w:val="en-US"/>
        </w:rPr>
        <w:t xml:space="preserve"> + 2% Pt.</w:t>
      </w:r>
    </w:p>
    <w:p w:rsidR="00CD187D" w:rsidRDefault="00CD187D" w:rsidP="00043279">
      <w:pPr>
        <w:pStyle w:val="Zv-TitleReferences-en"/>
        <w:spacing w:before="240" w:line="235" w:lineRule="auto"/>
        <w:rPr>
          <w:lang w:val="en-US"/>
        </w:rPr>
      </w:pPr>
      <w:r>
        <w:rPr>
          <w:lang w:val="en-US"/>
        </w:rPr>
        <w:t>References</w:t>
      </w:r>
    </w:p>
    <w:p w:rsidR="00CD187D" w:rsidRDefault="00CD187D" w:rsidP="00043279">
      <w:pPr>
        <w:pStyle w:val="Zv-References-en"/>
        <w:spacing w:line="235" w:lineRule="auto"/>
      </w:pPr>
      <w:r>
        <w:t>G</w:t>
      </w:r>
      <w:r w:rsidRPr="00A659EF">
        <w:t>.</w:t>
      </w:r>
      <w:r>
        <w:t>M</w:t>
      </w:r>
      <w:r w:rsidRPr="00A659EF">
        <w:t xml:space="preserve">. </w:t>
      </w:r>
      <w:r>
        <w:t>Batanov</w:t>
      </w:r>
      <w:r w:rsidRPr="00A659EF">
        <w:t>,</w:t>
      </w:r>
      <w:r>
        <w:t xml:space="preserve"> I.A. Kossyi. </w:t>
      </w:r>
      <w:r w:rsidRPr="00D757C1">
        <w:t>Plasma Physics Reports, 201</w:t>
      </w:r>
      <w:r>
        <w:t>5, V. 41, N. 10, pp. 847–857.</w:t>
      </w:r>
    </w:p>
    <w:p w:rsidR="00CD187D" w:rsidRDefault="00CD187D" w:rsidP="00043279">
      <w:pPr>
        <w:pStyle w:val="Zv-References-en"/>
        <w:spacing w:line="235" w:lineRule="auto"/>
      </w:pPr>
      <w:r>
        <w:t>K</w:t>
      </w:r>
      <w:r w:rsidRPr="00A659EF">
        <w:t>.V. Artem’ev</w:t>
      </w:r>
      <w:r w:rsidRPr="002803A0">
        <w:t xml:space="preserve"> </w:t>
      </w:r>
      <w:r>
        <w:t xml:space="preserve">et al. </w:t>
      </w:r>
      <w:r w:rsidRPr="00A659EF">
        <w:t>P</w:t>
      </w:r>
      <w:r>
        <w:t>lasma Physics Reports, 2018, V. 44, N</w:t>
      </w:r>
      <w:r w:rsidRPr="00A659EF">
        <w:t>. 6, pp. 615–625</w:t>
      </w:r>
      <w:r>
        <w:t>.</w:t>
      </w:r>
    </w:p>
    <w:sectPr w:rsidR="00CD187D"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0A" w:rsidRDefault="00F1740A">
      <w:r>
        <w:separator/>
      </w:r>
    </w:p>
  </w:endnote>
  <w:endnote w:type="continuationSeparator" w:id="0">
    <w:p w:rsidR="00F1740A" w:rsidRDefault="00F17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95EC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95EC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4327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0A" w:rsidRDefault="00F1740A">
      <w:r>
        <w:separator/>
      </w:r>
    </w:p>
  </w:footnote>
  <w:footnote w:type="continuationSeparator" w:id="0">
    <w:p w:rsidR="00F1740A" w:rsidRDefault="00F1740A">
      <w:r>
        <w:continuationSeparator/>
      </w:r>
    </w:p>
  </w:footnote>
  <w:footnote w:id="1">
    <w:p w:rsidR="00043279" w:rsidRPr="00043279" w:rsidRDefault="00043279">
      <w:pPr>
        <w:pStyle w:val="a8"/>
        <w:rPr>
          <w:lang w:val="en-US"/>
        </w:rPr>
      </w:pPr>
      <w:r w:rsidRPr="00043279">
        <w:rPr>
          <w:rStyle w:val="aa"/>
          <w:lang w:val="en-US"/>
        </w:rPr>
        <w:t>*)</w:t>
      </w:r>
      <w:r w:rsidRPr="00043279">
        <w:rPr>
          <w:lang w:val="en-US"/>
        </w:rPr>
        <w:t xml:space="preserve">  </w:t>
      </w:r>
      <w:hyperlink r:id="rId1" w:history="1">
        <w:r w:rsidRPr="0004327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795EC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B111A"/>
    <w:rsid w:val="00043279"/>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95EC0"/>
    <w:rsid w:val="007B09C9"/>
    <w:rsid w:val="007B6378"/>
    <w:rsid w:val="007E06CE"/>
    <w:rsid w:val="00802D35"/>
    <w:rsid w:val="008306AF"/>
    <w:rsid w:val="008520F9"/>
    <w:rsid w:val="008850EF"/>
    <w:rsid w:val="00906FF7"/>
    <w:rsid w:val="009D3AC4"/>
    <w:rsid w:val="00AE6185"/>
    <w:rsid w:val="00B622ED"/>
    <w:rsid w:val="00B9584E"/>
    <w:rsid w:val="00BB111A"/>
    <w:rsid w:val="00C103CD"/>
    <w:rsid w:val="00C232A0"/>
    <w:rsid w:val="00C5751F"/>
    <w:rsid w:val="00CA1F1A"/>
    <w:rsid w:val="00CD187D"/>
    <w:rsid w:val="00D47F19"/>
    <w:rsid w:val="00D900FB"/>
    <w:rsid w:val="00D92E54"/>
    <w:rsid w:val="00E118BE"/>
    <w:rsid w:val="00E7021A"/>
    <w:rsid w:val="00E87733"/>
    <w:rsid w:val="00EE371E"/>
    <w:rsid w:val="00EF07A9"/>
    <w:rsid w:val="00F1740A"/>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D187D"/>
    <w:rPr>
      <w:color w:val="0000FF" w:themeColor="hyperlink"/>
      <w:u w:val="single"/>
    </w:rPr>
  </w:style>
  <w:style w:type="paragraph" w:styleId="a8">
    <w:name w:val="footnote text"/>
    <w:basedOn w:val="a"/>
    <w:link w:val="a9"/>
    <w:rsid w:val="00043279"/>
    <w:rPr>
      <w:sz w:val="20"/>
      <w:szCs w:val="20"/>
    </w:rPr>
  </w:style>
  <w:style w:type="character" w:customStyle="1" w:styleId="a9">
    <w:name w:val="Текст сноски Знак"/>
    <w:basedOn w:val="a0"/>
    <w:link w:val="a8"/>
    <w:rsid w:val="00043279"/>
  </w:style>
  <w:style w:type="character" w:styleId="aa">
    <w:name w:val="footnote reference"/>
    <w:basedOn w:val="a0"/>
    <w:rsid w:val="0004327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zosekov@fpl.gp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Y-Borzose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88B2F-8E31-428D-93B2-BA049CBC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398</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POSSIBILITY OF PLATINUM CATALYST SYNTHESIS IN A MICROWAVE SUBTHRESHOLD DISCHARGE</dc:title>
  <dc:creator/>
  <cp:lastModifiedBy>Сатунин</cp:lastModifiedBy>
  <cp:revision>3</cp:revision>
  <cp:lastPrinted>1601-01-01T00:00:00Z</cp:lastPrinted>
  <dcterms:created xsi:type="dcterms:W3CDTF">2022-01-28T20:02:00Z</dcterms:created>
  <dcterms:modified xsi:type="dcterms:W3CDTF">2022-04-01T18:09:00Z</dcterms:modified>
</cp:coreProperties>
</file>