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7FE" w:rsidRPr="008D65C1" w:rsidRDefault="00FB67FE" w:rsidP="008D65C1">
      <w:pPr>
        <w:pStyle w:val="Zv-Titlereport"/>
        <w:spacing w:line="230" w:lineRule="auto"/>
      </w:pPr>
      <w:r w:rsidRPr="006C241F">
        <w:t xml:space="preserve">Режимы </w:t>
      </w:r>
      <w:r w:rsidRPr="00FB67FE">
        <w:t>нагрева</w:t>
      </w:r>
      <w:r w:rsidRPr="006C241F">
        <w:t xml:space="preserve"> плазмы в установке ПЛМ-М</w:t>
      </w:r>
      <w:r w:rsidR="008D65C1" w:rsidRPr="008D65C1">
        <w:t xml:space="preserve"> </w:t>
      </w:r>
      <w:r w:rsidR="008D65C1">
        <w:rPr>
          <w:rStyle w:val="aa"/>
        </w:rPr>
        <w:footnoteReference w:customMarkFollows="1" w:id="1"/>
        <w:t>*)</w:t>
      </w:r>
    </w:p>
    <w:p w:rsidR="00FB67FE" w:rsidRPr="008D65C1" w:rsidRDefault="00FB67FE" w:rsidP="008D65C1">
      <w:pPr>
        <w:pStyle w:val="Zv-Author"/>
        <w:spacing w:line="230" w:lineRule="auto"/>
        <w:rPr>
          <w:lang w:val="en-US"/>
        </w:rPr>
      </w:pPr>
      <w:r w:rsidRPr="008D65C1">
        <w:rPr>
          <w:vertAlign w:val="superscript"/>
          <w:lang w:val="en-US"/>
        </w:rPr>
        <w:t>1</w:t>
      </w:r>
      <w:r w:rsidRPr="006C241F">
        <w:rPr>
          <w:u w:val="single"/>
        </w:rPr>
        <w:t>Чан</w:t>
      </w:r>
      <w:r w:rsidRPr="008D65C1">
        <w:rPr>
          <w:u w:val="single"/>
          <w:lang w:val="en-US"/>
        </w:rPr>
        <w:t xml:space="preserve"> </w:t>
      </w:r>
      <w:r w:rsidRPr="006C241F">
        <w:rPr>
          <w:u w:val="single"/>
        </w:rPr>
        <w:t>К</w:t>
      </w:r>
      <w:r w:rsidRPr="008D65C1">
        <w:rPr>
          <w:u w:val="single"/>
          <w:lang w:val="en-US"/>
        </w:rPr>
        <w:t>.</w:t>
      </w:r>
      <w:r w:rsidRPr="006C241F">
        <w:rPr>
          <w:u w:val="single"/>
        </w:rPr>
        <w:t>В</w:t>
      </w:r>
      <w:r w:rsidRPr="008D65C1">
        <w:rPr>
          <w:u w:val="single"/>
          <w:lang w:val="en-US"/>
        </w:rPr>
        <w:t>.</w:t>
      </w:r>
      <w:r w:rsidRPr="008D65C1">
        <w:rPr>
          <w:lang w:val="en-US"/>
        </w:rPr>
        <w:t xml:space="preserve">, </w:t>
      </w:r>
      <w:r w:rsidRPr="008D65C1">
        <w:rPr>
          <w:vertAlign w:val="superscript"/>
          <w:lang w:val="en-US"/>
        </w:rPr>
        <w:t>1,2</w:t>
      </w:r>
      <w:r w:rsidRPr="00FB67FE">
        <w:t>Будаев</w:t>
      </w:r>
      <w:r w:rsidRPr="008D65C1">
        <w:rPr>
          <w:lang w:val="en-US"/>
        </w:rPr>
        <w:t xml:space="preserve"> </w:t>
      </w:r>
      <w:r w:rsidRPr="006C241F">
        <w:t>В</w:t>
      </w:r>
      <w:r w:rsidRPr="008D65C1">
        <w:rPr>
          <w:lang w:val="en-US"/>
        </w:rPr>
        <w:t>.</w:t>
      </w:r>
      <w:r w:rsidRPr="006C241F">
        <w:t>П</w:t>
      </w:r>
      <w:r w:rsidRPr="008D65C1">
        <w:rPr>
          <w:lang w:val="en-US"/>
        </w:rPr>
        <w:t xml:space="preserve">., </w:t>
      </w:r>
      <w:r w:rsidRPr="008D65C1">
        <w:rPr>
          <w:vertAlign w:val="superscript"/>
          <w:lang w:val="en-US"/>
        </w:rPr>
        <w:t>1</w:t>
      </w:r>
      <w:r w:rsidRPr="006C241F">
        <w:t>Дедов</w:t>
      </w:r>
      <w:r w:rsidRPr="008D65C1">
        <w:rPr>
          <w:lang w:val="en-US"/>
        </w:rPr>
        <w:t xml:space="preserve"> </w:t>
      </w:r>
      <w:r w:rsidRPr="006C241F">
        <w:t>А</w:t>
      </w:r>
      <w:r w:rsidRPr="008D65C1">
        <w:rPr>
          <w:lang w:val="en-US"/>
        </w:rPr>
        <w:t>.</w:t>
      </w:r>
      <w:r w:rsidRPr="006C241F">
        <w:t>В</w:t>
      </w:r>
      <w:r w:rsidRPr="008D65C1">
        <w:rPr>
          <w:lang w:val="en-US"/>
        </w:rPr>
        <w:t xml:space="preserve">., </w:t>
      </w:r>
      <w:r w:rsidRPr="008D65C1">
        <w:rPr>
          <w:vertAlign w:val="superscript"/>
          <w:lang w:val="en-US"/>
        </w:rPr>
        <w:t>1</w:t>
      </w:r>
      <w:r w:rsidRPr="006C241F">
        <w:t>Федорович</w:t>
      </w:r>
      <w:r w:rsidRPr="008D65C1">
        <w:rPr>
          <w:lang w:val="en-US"/>
        </w:rPr>
        <w:t xml:space="preserve"> </w:t>
      </w:r>
      <w:r w:rsidRPr="006C241F">
        <w:t>С</w:t>
      </w:r>
      <w:r w:rsidRPr="008D65C1">
        <w:rPr>
          <w:lang w:val="en-US"/>
        </w:rPr>
        <w:t>.</w:t>
      </w:r>
      <w:r w:rsidRPr="006C241F">
        <w:t>Д</w:t>
      </w:r>
      <w:r w:rsidRPr="008D65C1">
        <w:rPr>
          <w:lang w:val="en-US"/>
        </w:rPr>
        <w:t xml:space="preserve">., </w:t>
      </w:r>
      <w:r w:rsidRPr="008D65C1">
        <w:rPr>
          <w:vertAlign w:val="superscript"/>
          <w:lang w:val="en-US"/>
        </w:rPr>
        <w:t>1,3</w:t>
      </w:r>
      <w:r w:rsidRPr="006C241F">
        <w:t>Кавыршин</w:t>
      </w:r>
      <w:r w:rsidRPr="008D65C1">
        <w:rPr>
          <w:lang w:val="en-US"/>
        </w:rPr>
        <w:t xml:space="preserve"> </w:t>
      </w:r>
      <w:r w:rsidRPr="006C241F">
        <w:t>Д</w:t>
      </w:r>
      <w:r w:rsidRPr="008D65C1">
        <w:rPr>
          <w:lang w:val="en-US"/>
        </w:rPr>
        <w:t>.</w:t>
      </w:r>
      <w:r w:rsidRPr="006C241F">
        <w:t>И</w:t>
      </w:r>
      <w:r w:rsidRPr="008D65C1">
        <w:rPr>
          <w:lang w:val="en-US"/>
        </w:rPr>
        <w:t xml:space="preserve">., </w:t>
      </w:r>
      <w:r w:rsidRPr="008D65C1">
        <w:rPr>
          <w:vertAlign w:val="superscript"/>
          <w:lang w:val="en-US"/>
        </w:rPr>
        <w:t>1,2</w:t>
      </w:r>
      <w:r w:rsidRPr="006C241F">
        <w:t>Карпов</w:t>
      </w:r>
      <w:r>
        <w:rPr>
          <w:lang w:val="en-US"/>
        </w:rPr>
        <w:t> </w:t>
      </w:r>
      <w:r w:rsidRPr="006C241F">
        <w:t>А</w:t>
      </w:r>
      <w:r w:rsidRPr="008D65C1">
        <w:rPr>
          <w:lang w:val="en-US"/>
        </w:rPr>
        <w:t>.</w:t>
      </w:r>
      <w:r w:rsidRPr="006C241F">
        <w:t>В</w:t>
      </w:r>
      <w:r w:rsidRPr="008D65C1">
        <w:rPr>
          <w:lang w:val="en-US"/>
        </w:rPr>
        <w:t>.,</w:t>
      </w:r>
      <w:r w:rsidRPr="008D65C1">
        <w:rPr>
          <w:bCs w:val="0"/>
          <w:iCs w:val="0"/>
          <w:szCs w:val="24"/>
          <w:lang w:val="en-US"/>
        </w:rPr>
        <w:t xml:space="preserve"> </w:t>
      </w:r>
      <w:r w:rsidRPr="008D65C1">
        <w:rPr>
          <w:vertAlign w:val="superscript"/>
          <w:lang w:val="en-US"/>
        </w:rPr>
        <w:t>2</w:t>
      </w:r>
      <w:r w:rsidRPr="006C241F">
        <w:t>Мартыненко</w:t>
      </w:r>
      <w:r w:rsidRPr="008D65C1">
        <w:rPr>
          <w:lang w:val="en-US"/>
        </w:rPr>
        <w:t xml:space="preserve"> </w:t>
      </w:r>
      <w:r w:rsidRPr="006C241F">
        <w:t>Ю</w:t>
      </w:r>
      <w:r w:rsidRPr="008D65C1">
        <w:rPr>
          <w:lang w:val="en-US"/>
        </w:rPr>
        <w:t>.</w:t>
      </w:r>
      <w:r w:rsidRPr="006C241F">
        <w:t>В</w:t>
      </w:r>
      <w:r w:rsidRPr="008D65C1">
        <w:rPr>
          <w:lang w:val="en-US"/>
        </w:rPr>
        <w:t xml:space="preserve">., </w:t>
      </w:r>
      <w:r w:rsidRPr="008D65C1">
        <w:rPr>
          <w:vertAlign w:val="superscript"/>
          <w:lang w:val="en-US"/>
        </w:rPr>
        <w:t>1</w:t>
      </w:r>
      <w:r w:rsidRPr="006C241F">
        <w:t>Комов</w:t>
      </w:r>
      <w:r w:rsidRPr="008D65C1">
        <w:rPr>
          <w:lang w:val="en-US"/>
        </w:rPr>
        <w:t xml:space="preserve"> </w:t>
      </w:r>
      <w:r w:rsidRPr="006C241F">
        <w:t>А</w:t>
      </w:r>
      <w:r w:rsidRPr="008D65C1">
        <w:rPr>
          <w:lang w:val="en-US"/>
        </w:rPr>
        <w:t>.</w:t>
      </w:r>
      <w:r w:rsidRPr="006C241F">
        <w:t>Т</w:t>
      </w:r>
      <w:r w:rsidRPr="008D65C1">
        <w:rPr>
          <w:lang w:val="en-US"/>
        </w:rPr>
        <w:t xml:space="preserve">., </w:t>
      </w:r>
      <w:r w:rsidRPr="008D65C1">
        <w:rPr>
          <w:vertAlign w:val="superscript"/>
          <w:lang w:val="en-US"/>
        </w:rPr>
        <w:t>1</w:t>
      </w:r>
      <w:r w:rsidRPr="006C241F">
        <w:t>Лубенченко</w:t>
      </w:r>
      <w:r w:rsidRPr="008D65C1">
        <w:rPr>
          <w:lang w:val="en-US"/>
        </w:rPr>
        <w:t xml:space="preserve"> </w:t>
      </w:r>
      <w:r w:rsidRPr="006C241F">
        <w:t>А</w:t>
      </w:r>
      <w:r w:rsidRPr="008D65C1">
        <w:rPr>
          <w:lang w:val="en-US"/>
        </w:rPr>
        <w:t>.</w:t>
      </w:r>
      <w:r w:rsidRPr="006C241F">
        <w:t>В</w:t>
      </w:r>
      <w:r w:rsidRPr="008D65C1">
        <w:rPr>
          <w:lang w:val="en-US"/>
        </w:rPr>
        <w:t xml:space="preserve">., </w:t>
      </w:r>
      <w:r w:rsidRPr="008D65C1">
        <w:rPr>
          <w:vertAlign w:val="superscript"/>
          <w:lang w:val="en-US"/>
        </w:rPr>
        <w:t>1</w:t>
      </w:r>
      <w:r w:rsidRPr="006C241F">
        <w:t>Лукашевский</w:t>
      </w:r>
      <w:r>
        <w:rPr>
          <w:lang w:val="en-US"/>
        </w:rPr>
        <w:t> </w:t>
      </w:r>
      <w:r w:rsidRPr="006C241F">
        <w:t>М</w:t>
      </w:r>
      <w:r w:rsidRPr="008D65C1">
        <w:rPr>
          <w:lang w:val="en-US"/>
        </w:rPr>
        <w:t>.</w:t>
      </w:r>
      <w:r w:rsidRPr="006C241F">
        <w:t>В</w:t>
      </w:r>
      <w:r w:rsidRPr="008D65C1">
        <w:rPr>
          <w:lang w:val="en-US"/>
        </w:rPr>
        <w:t xml:space="preserve">., </w:t>
      </w:r>
      <w:r w:rsidRPr="008D65C1">
        <w:rPr>
          <w:vertAlign w:val="superscript"/>
          <w:lang w:val="en-US"/>
        </w:rPr>
        <w:t>1</w:t>
      </w:r>
      <w:r w:rsidRPr="006C241F">
        <w:t>Захаренков</w:t>
      </w:r>
      <w:r w:rsidRPr="008D65C1">
        <w:rPr>
          <w:lang w:val="en-US"/>
        </w:rPr>
        <w:t xml:space="preserve"> </w:t>
      </w:r>
      <w:r w:rsidRPr="006C241F">
        <w:t>А</w:t>
      </w:r>
      <w:r w:rsidRPr="008D65C1">
        <w:rPr>
          <w:lang w:val="en-US"/>
        </w:rPr>
        <w:t>.</w:t>
      </w:r>
      <w:r w:rsidRPr="006C241F">
        <w:t>В</w:t>
      </w:r>
      <w:r w:rsidRPr="008D65C1">
        <w:rPr>
          <w:lang w:val="en-US"/>
        </w:rPr>
        <w:t xml:space="preserve">., </w:t>
      </w:r>
      <w:r w:rsidRPr="008D65C1">
        <w:rPr>
          <w:vertAlign w:val="superscript"/>
          <w:lang w:val="en-US"/>
        </w:rPr>
        <w:t>1</w:t>
      </w:r>
      <w:r w:rsidRPr="006C241F">
        <w:t>Губкин</w:t>
      </w:r>
      <w:r w:rsidRPr="008D65C1">
        <w:rPr>
          <w:lang w:val="en-US"/>
        </w:rPr>
        <w:t xml:space="preserve"> </w:t>
      </w:r>
      <w:r w:rsidRPr="006C241F">
        <w:t>М</w:t>
      </w:r>
      <w:r w:rsidRPr="008D65C1">
        <w:rPr>
          <w:lang w:val="en-US"/>
        </w:rPr>
        <w:t>.</w:t>
      </w:r>
      <w:r w:rsidRPr="006C241F">
        <w:t>К</w:t>
      </w:r>
      <w:r w:rsidRPr="008D65C1">
        <w:rPr>
          <w:lang w:val="en-US"/>
        </w:rPr>
        <w:t xml:space="preserve">., </w:t>
      </w:r>
      <w:r w:rsidRPr="008D65C1">
        <w:rPr>
          <w:vertAlign w:val="superscript"/>
          <w:lang w:val="en-US"/>
        </w:rPr>
        <w:t>1</w:t>
      </w:r>
      <w:r w:rsidRPr="006C241F">
        <w:t>Васильев</w:t>
      </w:r>
      <w:r w:rsidRPr="008D65C1">
        <w:rPr>
          <w:lang w:val="en-US"/>
        </w:rPr>
        <w:t xml:space="preserve"> </w:t>
      </w:r>
      <w:r w:rsidRPr="006C241F">
        <w:t>Г</w:t>
      </w:r>
      <w:r w:rsidRPr="008D65C1">
        <w:rPr>
          <w:lang w:val="en-US"/>
        </w:rPr>
        <w:t>.</w:t>
      </w:r>
      <w:r w:rsidRPr="006C241F">
        <w:t>Б</w:t>
      </w:r>
      <w:r w:rsidRPr="008D65C1">
        <w:rPr>
          <w:lang w:val="en-US"/>
        </w:rPr>
        <w:t xml:space="preserve">., </w:t>
      </w:r>
      <w:r w:rsidRPr="008D65C1">
        <w:rPr>
          <w:vertAlign w:val="superscript"/>
          <w:lang w:val="en-US"/>
        </w:rPr>
        <w:t>1</w:t>
      </w:r>
      <w:r w:rsidRPr="006C241F">
        <w:t>Рогозин</w:t>
      </w:r>
      <w:r w:rsidRPr="008D65C1">
        <w:rPr>
          <w:lang w:val="en-US"/>
        </w:rPr>
        <w:t xml:space="preserve"> </w:t>
      </w:r>
      <w:r w:rsidRPr="006C241F">
        <w:t>К</w:t>
      </w:r>
      <w:r w:rsidRPr="008D65C1">
        <w:rPr>
          <w:lang w:val="en-US"/>
        </w:rPr>
        <w:t>.</w:t>
      </w:r>
      <w:r w:rsidRPr="006C241F">
        <w:t>А</w:t>
      </w:r>
      <w:r w:rsidRPr="008D65C1">
        <w:rPr>
          <w:lang w:val="en-US"/>
        </w:rPr>
        <w:t xml:space="preserve">., </w:t>
      </w:r>
      <w:r w:rsidRPr="008D65C1">
        <w:rPr>
          <w:vertAlign w:val="superscript"/>
          <w:lang w:val="en-US"/>
        </w:rPr>
        <w:t>1</w:t>
      </w:r>
      <w:r w:rsidRPr="006C241F">
        <w:t>Коньков</w:t>
      </w:r>
      <w:r w:rsidRPr="008D65C1">
        <w:rPr>
          <w:lang w:val="en-US"/>
        </w:rPr>
        <w:t xml:space="preserve"> </w:t>
      </w:r>
      <w:r w:rsidRPr="006C241F">
        <w:t>А</w:t>
      </w:r>
      <w:r w:rsidRPr="008D65C1">
        <w:rPr>
          <w:lang w:val="en-US"/>
        </w:rPr>
        <w:t>.</w:t>
      </w:r>
      <w:r w:rsidRPr="006C241F">
        <w:t>А</w:t>
      </w:r>
      <w:r w:rsidRPr="008D65C1">
        <w:rPr>
          <w:lang w:val="en-US"/>
        </w:rPr>
        <w:t xml:space="preserve">., </w:t>
      </w:r>
      <w:r w:rsidRPr="008D65C1">
        <w:rPr>
          <w:vertAlign w:val="superscript"/>
          <w:lang w:val="en-US"/>
        </w:rPr>
        <w:t>1</w:t>
      </w:r>
      <w:r w:rsidRPr="006C241F">
        <w:t>Квасков</w:t>
      </w:r>
      <w:r w:rsidRPr="008D65C1">
        <w:rPr>
          <w:lang w:val="en-US"/>
        </w:rPr>
        <w:t xml:space="preserve"> </w:t>
      </w:r>
      <w:r w:rsidRPr="006C241F">
        <w:t>В</w:t>
      </w:r>
      <w:r w:rsidRPr="008D65C1">
        <w:rPr>
          <w:lang w:val="en-US"/>
        </w:rPr>
        <w:t>.</w:t>
      </w:r>
      <w:r w:rsidRPr="006C241F">
        <w:t>С</w:t>
      </w:r>
      <w:r w:rsidRPr="008D65C1">
        <w:rPr>
          <w:lang w:val="en-US"/>
        </w:rPr>
        <w:t>.</w:t>
      </w:r>
    </w:p>
    <w:p w:rsidR="00FB67FE" w:rsidRPr="006C241F" w:rsidRDefault="00FB67FE" w:rsidP="008D65C1">
      <w:pPr>
        <w:pStyle w:val="Zv-Organization"/>
        <w:spacing w:line="230" w:lineRule="auto"/>
        <w:rPr>
          <w:rFonts w:ascii="Times New Roman CYR" w:hAnsi="Times New Roman CYR" w:cs="Times New Roman CYR"/>
        </w:rPr>
      </w:pPr>
      <w:r w:rsidRPr="006C241F">
        <w:rPr>
          <w:vertAlign w:val="superscript"/>
        </w:rPr>
        <w:t>1</w:t>
      </w:r>
      <w:r w:rsidRPr="006C241F">
        <w:t xml:space="preserve">Национальный </w:t>
      </w:r>
      <w:r w:rsidRPr="00FB67FE">
        <w:t>исследовательский</w:t>
      </w:r>
      <w:r w:rsidRPr="006C241F">
        <w:t xml:space="preserve"> университет «МЭИ», Москва, Россия </w:t>
      </w:r>
      <w:r w:rsidRPr="00FB67FE">
        <w:br/>
      </w:r>
      <w:r w:rsidRPr="006C241F">
        <w:rPr>
          <w:rFonts w:ascii="Times New Roman CYR" w:hAnsi="Times New Roman CYR" w:cs="Times New Roman CYR"/>
          <w:vertAlign w:val="superscript"/>
        </w:rPr>
        <w:t>2</w:t>
      </w:r>
      <w:r w:rsidRPr="006C241F">
        <w:rPr>
          <w:rFonts w:ascii="Times New Roman CYR" w:hAnsi="Times New Roman CYR" w:cs="Times New Roman CYR"/>
        </w:rPr>
        <w:t>Национальный исследовательский центр «Курчатовский институт», Москва, Россия</w:t>
      </w:r>
      <w:r w:rsidRPr="006C241F">
        <w:rPr>
          <w:rFonts w:ascii="Times New Roman CYR" w:hAnsi="Times New Roman CYR" w:cs="Times New Roman CYR"/>
        </w:rPr>
        <w:br/>
      </w:r>
      <w:r w:rsidRPr="006C241F">
        <w:rPr>
          <w:rFonts w:ascii="Times New Roman CYR" w:hAnsi="Times New Roman CYR" w:cs="Times New Roman CYR"/>
          <w:vertAlign w:val="superscript"/>
        </w:rPr>
        <w:t>3</w:t>
      </w:r>
      <w:r w:rsidRPr="006C241F">
        <w:rPr>
          <w:rFonts w:ascii="Times New Roman CYR" w:hAnsi="Times New Roman CYR" w:cs="Times New Roman CYR"/>
        </w:rPr>
        <w:t>Объединенный институт высоких температур Российской академии наук</w:t>
      </w:r>
      <w:r w:rsidRPr="00FB67FE">
        <w:rPr>
          <w:rFonts w:ascii="Times New Roman CYR" w:hAnsi="Times New Roman CYR" w:cs="Times New Roman CYR"/>
        </w:rPr>
        <w:br/>
        <w:t xml:space="preserve">    </w:t>
      </w:r>
      <w:r w:rsidRPr="006C241F">
        <w:rPr>
          <w:rFonts w:ascii="Times New Roman CYR" w:hAnsi="Times New Roman CYR" w:cs="Times New Roman CYR"/>
        </w:rPr>
        <w:t xml:space="preserve"> (ОИВТ РАН) , Москва, Россия</w:t>
      </w:r>
    </w:p>
    <w:p w:rsidR="00FB67FE" w:rsidRPr="00FB67FE" w:rsidRDefault="00FB67FE" w:rsidP="008D65C1">
      <w:pPr>
        <w:pStyle w:val="Zv-bodyreport"/>
        <w:spacing w:line="230" w:lineRule="auto"/>
      </w:pPr>
      <w:r w:rsidRPr="00FB67FE">
        <w:t>Плазменная линейная магнитная ловушка ПЛМ-М [1] построена на базе имеющейся установки ПЛМ (НИУ «МЭИ») [2] с целью полномасштабных испытаний материалов, макетов и прототипов стенки и дивертора будущих термоядерных реакторов. Установка позволяет получить плазму с параметрами, способными обеспечить соответствующие реакторным плазменные нагрузки на материалы.</w:t>
      </w:r>
    </w:p>
    <w:p w:rsidR="00FB67FE" w:rsidRPr="00FB67FE" w:rsidRDefault="00FB67FE" w:rsidP="008D65C1">
      <w:pPr>
        <w:pStyle w:val="Zv-bodyreport"/>
        <w:spacing w:line="230" w:lineRule="auto"/>
      </w:pPr>
      <w:r w:rsidRPr="00FB67FE">
        <w:t>Для формирования плазменного разряда в установке ПЛМ-М использован танталовый катод. Анод цилиндрической формы с внутренним отверстием 35 мм изготовлен из меди и закреплен на стальном кольце, обеспечивающем теплоотвод на водоохлаждаемую камеру.</w:t>
      </w:r>
      <w:r w:rsidRPr="00FB67FE">
        <w:rPr>
          <w:rFonts w:eastAsia="TimesNewRomanPSMT"/>
        </w:rPr>
        <w:t xml:space="preserve"> </w:t>
      </w:r>
      <w:r w:rsidRPr="00FB67FE">
        <w:t>Нагрев плазмы осуществляется за счет процесса ступенчатой ионизации электронным ударом атомов плазмообразующего газа (гелия). Необходимая для процесса ступенчатой ионизации плотность тока электронов достигается за счет электронной термоэмиссии с катода. Мощность нагрева катода – до 2 кВт.</w:t>
      </w:r>
      <w:r w:rsidRPr="00FB67FE">
        <w:rPr>
          <w:rFonts w:eastAsia="TimesNewRomanPSMT"/>
        </w:rPr>
        <w:t xml:space="preserve"> </w:t>
      </w:r>
      <w:r w:rsidRPr="00FB67FE">
        <w:t>Ток эмиссии катода достигает до 30 А. Важной особенностью разряда является генерация плазмы вблизи оси плазменной камеры, что позволяет минимизировать потери плазмы, снизить тепловые нагрузки на стенки камеры и использовать источники в непрерывном режиме. Проведены спектроскопические измерения интенсивности спектральных линий атомарного гелия. Полученные оценки температуры электронов составили 1 ÷ 3 эВ. Плотность электронов достигала 5 × 1018 м–3. Оцененная плотность теплового потока на поверхность, обращенную к плазме составляет 2 ÷ 4 МВт/м2.</w:t>
      </w:r>
    </w:p>
    <w:p w:rsidR="00FB67FE" w:rsidRPr="00FB67FE" w:rsidRDefault="00FB67FE" w:rsidP="008D65C1">
      <w:pPr>
        <w:pStyle w:val="Zv-bodyreport"/>
        <w:spacing w:line="230" w:lineRule="auto"/>
      </w:pPr>
      <w:r w:rsidRPr="00FB67FE">
        <w:t xml:space="preserve">С целью повышения плазменных параметров в установке ПЛМ-М была разработана и изготовлена система стационарного дополнительного ВЧ-нагрева с использованием геликонной антенны. Система дополнительного ВЧ-нагрева состоит из геликонной антенны, источника ВЧ-питания, системы согласования, системы охлаждения. Конструкция геликонной антенны была предложена для обеспечения стационарного режима работы. Максимальная входная мощность </w:t>
      </w:r>
      <w:r w:rsidRPr="00FB67FE">
        <w:sym w:font="Symbol" w:char="F02D"/>
      </w:r>
      <w:r w:rsidRPr="00FB67FE">
        <w:t xml:space="preserve"> 4 кВт, частота </w:t>
      </w:r>
      <w:r w:rsidRPr="00FB67FE">
        <w:sym w:font="Symbol" w:char="F02D"/>
      </w:r>
      <w:r w:rsidRPr="00FB67FE">
        <w:t xml:space="preserve"> 27,12 МГц. Кварцевое стекло помещается внутрь антенны, чтобы избежать прямого контакта между антенной и плазмой. Изготовлена ​​ система согласования, состоящая из двух вакуумных переменных конденсаторов номинальной емкостью от 20 до 1000 пФ. Эта система может обеспечить гарантированную работу в широком диапазоне сопротивлений нагрузки. Ожидается, что с помощью системы дополнительного ВЧ-нагрева можно получить температуру электронов выше 10 эВ, плотность электронов (1 – 10) × 1019 м−3 при величине магнитного поля на оси до 0,03 Тл.</w:t>
      </w:r>
    </w:p>
    <w:p w:rsidR="00FB67FE" w:rsidRPr="00FB67FE" w:rsidRDefault="00FB67FE" w:rsidP="008D65C1">
      <w:pPr>
        <w:pStyle w:val="Zv-bodyreport"/>
        <w:spacing w:line="230" w:lineRule="auto"/>
      </w:pPr>
      <w:r w:rsidRPr="00FB67FE">
        <w:t>Спектроскопическое исследование выполнено при финансовой поддержке гранта РНФ 21-79-10281, испытания материалов на установке ПЛМ - при поддержке проекта № 223 ЕОТП-УТП 774/158-Д ГК «Росатом» ЧУ «Наука и инновации», анализ поверхности материалов проведен при поддержке Министерства науки и высшего образования РФ (FSWF-2020-0023), оценки радиационных эффектов проведены при поддержке гранта РФФИ 19-29-02020.</w:t>
      </w:r>
    </w:p>
    <w:p w:rsidR="00FB67FE" w:rsidRPr="006C241F" w:rsidRDefault="00FB67FE" w:rsidP="008D65C1">
      <w:pPr>
        <w:pStyle w:val="Zv-TitleReferences-ru"/>
        <w:spacing w:line="230" w:lineRule="auto"/>
      </w:pPr>
      <w:r w:rsidRPr="00FB67FE">
        <w:t>Литература</w:t>
      </w:r>
    </w:p>
    <w:p w:rsidR="00FB67FE" w:rsidRPr="008D65C1" w:rsidRDefault="00FB67FE" w:rsidP="008D65C1">
      <w:pPr>
        <w:pStyle w:val="Zv-References-ru"/>
        <w:spacing w:line="230" w:lineRule="auto"/>
        <w:rPr>
          <w:lang w:val="en-US"/>
        </w:rPr>
      </w:pPr>
      <w:r w:rsidRPr="008D65C1">
        <w:rPr>
          <w:lang w:val="en-US"/>
        </w:rPr>
        <w:t>V.P. Budaev et al 2019 J. Phys.: Conf. Ser. 1383 012016</w:t>
      </w:r>
    </w:p>
    <w:p w:rsidR="00654A7B" w:rsidRPr="00FB67FE" w:rsidRDefault="00FB67FE" w:rsidP="008D65C1">
      <w:pPr>
        <w:pStyle w:val="Zv-References-ru"/>
        <w:spacing w:line="230" w:lineRule="auto"/>
      </w:pPr>
      <w:r w:rsidRPr="00FB67FE">
        <w:t>Будаев В.П. и др.  Ядерная физика и инжиниринг, 2018, том 9, № 3, с. 127–138</w:t>
      </w:r>
    </w:p>
    <w:sectPr w:rsidR="00654A7B" w:rsidRPr="00FB67FE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977" w:rsidRDefault="003E7977">
      <w:r>
        <w:separator/>
      </w:r>
    </w:p>
  </w:endnote>
  <w:endnote w:type="continuationSeparator" w:id="0">
    <w:p w:rsidR="003E7977" w:rsidRDefault="003E7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06ACE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6724423"/>
      <w:docPartObj>
        <w:docPartGallery w:val="Page Numbers (Bottom of Page)"/>
        <w:docPartUnique/>
      </w:docPartObj>
    </w:sdtPr>
    <w:sdtContent>
      <w:p w:rsidR="003A7FE1" w:rsidRDefault="003A7FE1">
        <w:pPr>
          <w:pStyle w:val="a4"/>
          <w:jc w:val="center"/>
        </w:pPr>
        <w:r>
          <w:rPr>
            <w:lang w:val="en-US"/>
          </w:rPr>
          <w:t>53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977" w:rsidRDefault="003E7977">
      <w:r>
        <w:separator/>
      </w:r>
    </w:p>
  </w:footnote>
  <w:footnote w:type="continuationSeparator" w:id="0">
    <w:p w:rsidR="003E7977" w:rsidRDefault="003E7977">
      <w:r>
        <w:continuationSeparator/>
      </w:r>
    </w:p>
  </w:footnote>
  <w:footnote w:id="1">
    <w:p w:rsidR="008D65C1" w:rsidRPr="008D65C1" w:rsidRDefault="008D65C1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8D65C1">
          <w:rPr>
            <w:rStyle w:val="ab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FB67FE">
      <w:rPr>
        <w:sz w:val="20"/>
      </w:rPr>
      <w:t>14</w:t>
    </w:r>
    <w:r w:rsidR="00C62CFE">
      <w:rPr>
        <w:sz w:val="20"/>
      </w:rPr>
      <w:t xml:space="preserve"> – </w:t>
    </w:r>
    <w:r w:rsidR="00C62CFE" w:rsidRPr="00FB67FE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FB67FE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E06AC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A7FE1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A7FE1"/>
    <w:rsid w:val="003B5B93"/>
    <w:rsid w:val="003C1B47"/>
    <w:rsid w:val="003E797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D65C1"/>
    <w:rsid w:val="008E2894"/>
    <w:rsid w:val="009352E6"/>
    <w:rsid w:val="0094721E"/>
    <w:rsid w:val="00957FE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A791E"/>
    <w:rsid w:val="00CE0E75"/>
    <w:rsid w:val="00D47F19"/>
    <w:rsid w:val="00DA4715"/>
    <w:rsid w:val="00DE16AD"/>
    <w:rsid w:val="00DF1C1D"/>
    <w:rsid w:val="00DF6D4D"/>
    <w:rsid w:val="00E06ACE"/>
    <w:rsid w:val="00E1331D"/>
    <w:rsid w:val="00E7021A"/>
    <w:rsid w:val="00E87733"/>
    <w:rsid w:val="00F74399"/>
    <w:rsid w:val="00F95123"/>
    <w:rsid w:val="00FA3FAE"/>
    <w:rsid w:val="00FB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67FE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FB67FE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3A7FE1"/>
    <w:rPr>
      <w:sz w:val="24"/>
      <w:szCs w:val="24"/>
    </w:rPr>
  </w:style>
  <w:style w:type="paragraph" w:styleId="a8">
    <w:name w:val="footnote text"/>
    <w:basedOn w:val="a"/>
    <w:link w:val="a9"/>
    <w:rsid w:val="008D65C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D65C1"/>
  </w:style>
  <w:style w:type="character" w:styleId="aa">
    <w:name w:val="footnote reference"/>
    <w:basedOn w:val="a0"/>
    <w:rsid w:val="008D65C1"/>
    <w:rPr>
      <w:vertAlign w:val="superscript"/>
    </w:rPr>
  </w:style>
  <w:style w:type="character" w:styleId="ab">
    <w:name w:val="Hyperlink"/>
    <w:basedOn w:val="a0"/>
    <w:rsid w:val="008D65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en/CB-Cha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D6A51-9774-4A3D-BDB6-C4EE0D961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17</TotalTime>
  <Pages>1</Pages>
  <Words>449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РЕЖИМЫ НАГРЕВА ПЛАЗМЫ В УСТАНОВКЕ ПЛМ-М</dc:title>
  <dc:creator/>
  <cp:lastModifiedBy>Сатунин</cp:lastModifiedBy>
  <cp:revision>3</cp:revision>
  <cp:lastPrinted>1601-01-01T00:00:00Z</cp:lastPrinted>
  <dcterms:created xsi:type="dcterms:W3CDTF">2022-03-01T11:41:00Z</dcterms:created>
  <dcterms:modified xsi:type="dcterms:W3CDTF">2022-03-28T19:38:00Z</dcterms:modified>
</cp:coreProperties>
</file>