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0EA" w:rsidRPr="004641E0" w:rsidRDefault="00BA30EA" w:rsidP="004641E0">
      <w:pPr>
        <w:pStyle w:val="Zv-Titlereport"/>
        <w:spacing w:line="230" w:lineRule="auto"/>
      </w:pPr>
      <w:r>
        <w:t xml:space="preserve">Исследование равновесных </w:t>
      </w:r>
      <w:r w:rsidRPr="00CC49EB">
        <w:t>плазменных</w:t>
      </w:r>
      <w:r>
        <w:t xml:space="preserve"> конфигураций в тороидальных ловушках с вытянутым по </w:t>
      </w:r>
      <w:r>
        <w:rPr>
          <w:lang w:val="en-US"/>
        </w:rPr>
        <w:t>z</w:t>
      </w:r>
      <w:r w:rsidRPr="007E6B9A">
        <w:t xml:space="preserve"> </w:t>
      </w:r>
      <w:r w:rsidRPr="00CA271B">
        <w:t>сечением</w:t>
      </w:r>
      <w:r>
        <w:t xml:space="preserve"> на основе уравнений Морозова-Соловьева</w:t>
      </w:r>
      <w:r w:rsidR="004641E0" w:rsidRPr="004641E0">
        <w:t xml:space="preserve"> </w:t>
      </w:r>
      <w:r w:rsidR="004641E0">
        <w:rPr>
          <w:rStyle w:val="ac"/>
        </w:rPr>
        <w:footnoteReference w:customMarkFollows="1" w:id="1"/>
        <w:t>*)</w:t>
      </w:r>
    </w:p>
    <w:p w:rsidR="00BA30EA" w:rsidRDefault="00BA30EA" w:rsidP="004641E0">
      <w:pPr>
        <w:pStyle w:val="Zv-Author"/>
        <w:spacing w:line="230" w:lineRule="auto"/>
      </w:pPr>
      <w:r>
        <w:t>Савельев В.В.</w:t>
      </w:r>
    </w:p>
    <w:p w:rsidR="00BA30EA" w:rsidRPr="00BA30EA" w:rsidRDefault="00BA30EA" w:rsidP="004641E0">
      <w:pPr>
        <w:pStyle w:val="Zv-Organization"/>
        <w:spacing w:line="230" w:lineRule="auto"/>
      </w:pPr>
      <w:r w:rsidRPr="0028521D">
        <w:t>Институт прикладной математики им. М.В.</w:t>
      </w:r>
      <w:r w:rsidRPr="00B82E5E">
        <w:t xml:space="preserve"> </w:t>
      </w:r>
      <w:r w:rsidRPr="0028521D">
        <w:t>Келдыша РАН</w:t>
      </w:r>
      <w:r>
        <w:t>, г. Москва, Россия</w:t>
      </w:r>
      <w:r w:rsidRPr="00BA30EA">
        <w:t xml:space="preserve">, </w:t>
      </w:r>
      <w:hyperlink r:id="rId8" w:history="1">
        <w:r w:rsidRPr="0092329D">
          <w:rPr>
            <w:rStyle w:val="a9"/>
            <w:lang w:val="en-US"/>
          </w:rPr>
          <w:t>ssvvvv</w:t>
        </w:r>
        <w:r w:rsidRPr="0092329D">
          <w:rPr>
            <w:rStyle w:val="a9"/>
          </w:rPr>
          <w:t>@rambler.</w:t>
        </w:r>
        <w:r w:rsidRPr="0092329D">
          <w:rPr>
            <w:rStyle w:val="a9"/>
            <w:lang w:val="en-US"/>
          </w:rPr>
          <w:t>ru</w:t>
        </w:r>
      </w:hyperlink>
    </w:p>
    <w:p w:rsidR="00BA30EA" w:rsidRDefault="00BA30EA" w:rsidP="004641E0">
      <w:pPr>
        <w:pStyle w:val="Zv-bodyreport"/>
        <w:spacing w:line="230" w:lineRule="auto"/>
      </w:pPr>
      <w:r>
        <w:t>Стационарные</w:t>
      </w:r>
      <w:r w:rsidRPr="002B2E3E">
        <w:t xml:space="preserve"> </w:t>
      </w:r>
      <w:r>
        <w:t>и двумерные</w:t>
      </w:r>
      <w:r w:rsidRPr="00E5641B">
        <w:t xml:space="preserve"> </w:t>
      </w:r>
      <w:r>
        <w:t xml:space="preserve">(в цилиндрической системе координат </w:t>
      </w:r>
      <w:r w:rsidRPr="00CC49EB">
        <w:rPr>
          <w:position w:val="-10"/>
        </w:rPr>
        <w:object w:dxaOrig="38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75pt;height:12.75pt" o:ole="">
            <v:imagedata r:id="rId9" o:title=""/>
          </v:shape>
          <o:OLEObject Type="Embed" ProgID="Equation.DSMT4" ShapeID="_x0000_i1025" DrawAspect="Content" ObjectID="_1710011320" r:id="rId10"/>
        </w:object>
      </w:r>
      <w:r w:rsidRPr="00E5641B">
        <w:t>)</w:t>
      </w:r>
      <w:r>
        <w:t xml:space="preserve"> конфигурации квазинейтральной плазмы</w:t>
      </w:r>
      <w:r w:rsidRPr="00E5641B">
        <w:t xml:space="preserve"> </w:t>
      </w:r>
      <w:r>
        <w:t xml:space="preserve">изучаются численно на основе уравнений Морозова-Соловьева </w:t>
      </w:r>
      <w:r w:rsidRPr="0011101D">
        <w:t>[1,2,3</w:t>
      </w:r>
      <w:r w:rsidRPr="002508E6">
        <w:t>,4</w:t>
      </w:r>
      <w:r w:rsidRPr="0011101D">
        <w:t>].</w:t>
      </w:r>
      <w:r>
        <w:t xml:space="preserve"> Эти уравнения есть записанная  в специальной форме  </w:t>
      </w:r>
      <w:r w:rsidRPr="00DF7E8F">
        <w:t>общая система уравнений гидродинамики двухкомпонентной идеальной плазмы для случая стационарного течения</w:t>
      </w:r>
      <w:r>
        <w:t>. В ловушке добавляется условие покоя плазмы</w:t>
      </w:r>
      <w:r w:rsidRPr="00B03D3C">
        <w:t xml:space="preserve">. </w:t>
      </w:r>
      <w:r>
        <w:t xml:space="preserve">Основные уравнения записаны в терминах двух функций - функции магнитного потока </w:t>
      </w:r>
      <w:r w:rsidRPr="00862C41">
        <w:rPr>
          <w:position w:val="-10"/>
        </w:rPr>
        <w:object w:dxaOrig="760" w:dyaOrig="320">
          <v:shape id="_x0000_i1026" type="#_x0000_t75" style="width:38.25pt;height:16.5pt" o:ole="">
            <v:imagedata r:id="rId11" o:title=""/>
          </v:shape>
          <o:OLEObject Type="Embed" ProgID="Equation.DSMT4" ShapeID="_x0000_i1026" DrawAspect="Content" ObjectID="_1710011321" r:id="rId12"/>
        </w:object>
      </w:r>
      <w:r>
        <w:t xml:space="preserve">  и функции полного тока</w:t>
      </w:r>
      <w:r w:rsidRPr="00862C41">
        <w:t xml:space="preserve"> </w:t>
      </w:r>
      <w:r w:rsidRPr="00862C41">
        <w:rPr>
          <w:position w:val="-10"/>
        </w:rPr>
        <w:object w:dxaOrig="700" w:dyaOrig="320">
          <v:shape id="_x0000_i1027" type="#_x0000_t75" style="width:35.25pt;height:16.5pt" o:ole="">
            <v:imagedata r:id="rId13" o:title=""/>
          </v:shape>
          <o:OLEObject Type="Embed" ProgID="Equation.DSMT4" ShapeID="_x0000_i1027" DrawAspect="Content" ObjectID="_1710011322" r:id="rId14"/>
        </w:object>
      </w:r>
    </w:p>
    <w:p w:rsidR="00BA30EA" w:rsidRDefault="00BA30EA" w:rsidP="004641E0">
      <w:pPr>
        <w:pStyle w:val="Zv-formula"/>
        <w:spacing w:line="230" w:lineRule="auto"/>
        <w:jc w:val="center"/>
      </w:pPr>
      <w:r w:rsidRPr="008A5CDF">
        <w:object w:dxaOrig="7620" w:dyaOrig="2100">
          <v:shape id="_x0000_i1028" type="#_x0000_t75" style="width:350.25pt;height:96.75pt" o:ole="">
            <v:imagedata r:id="rId15" o:title=""/>
          </v:shape>
          <o:OLEObject Type="Embed" ProgID="Equation.DSMT4" ShapeID="_x0000_i1028" DrawAspect="Content" ObjectID="_1710011323" r:id="rId16"/>
        </w:object>
      </w:r>
    </w:p>
    <w:p w:rsidR="00BA30EA" w:rsidRDefault="00BA30EA" w:rsidP="004641E0">
      <w:pPr>
        <w:pStyle w:val="Zv-bodyreportcont"/>
        <w:spacing w:line="230" w:lineRule="auto"/>
      </w:pPr>
      <w:r>
        <w:t xml:space="preserve">Здесь </w:t>
      </w:r>
      <w:r w:rsidRPr="002565FA">
        <w:rPr>
          <w:position w:val="-10"/>
        </w:rPr>
        <w:object w:dxaOrig="580" w:dyaOrig="320">
          <v:shape id="_x0000_i1029" type="#_x0000_t75" style="width:29.25pt;height:16.5pt" o:ole="">
            <v:imagedata r:id="rId17" o:title=""/>
          </v:shape>
          <o:OLEObject Type="Embed" ProgID="Equation.DSMT4" ShapeID="_x0000_i1029" DrawAspect="Content" ObjectID="_1710011324" r:id="rId18"/>
        </w:object>
      </w:r>
      <w:r>
        <w:t xml:space="preserve"> </w:t>
      </w:r>
      <w:r w:rsidRPr="00AF6581">
        <w:t>интеграл</w:t>
      </w:r>
      <w:r>
        <w:t xml:space="preserve"> энергии (интеграл Бернулли) электронов, </w:t>
      </w:r>
      <w:r w:rsidRPr="00862C41">
        <w:rPr>
          <w:position w:val="-10"/>
        </w:rPr>
        <w:object w:dxaOrig="580" w:dyaOrig="320">
          <v:shape id="_x0000_i1030" type="#_x0000_t75" style="width:29.25pt;height:16.5pt" o:ole="">
            <v:imagedata r:id="rId19" o:title=""/>
          </v:shape>
          <o:OLEObject Type="Embed" ProgID="Equation.DSMT4" ShapeID="_x0000_i1030" DrawAspect="Content" ObjectID="_1710011325" r:id="rId20"/>
        </w:object>
      </w:r>
      <w:r>
        <w:t xml:space="preserve"> </w:t>
      </w:r>
      <w:r w:rsidRPr="00862C41">
        <w:t xml:space="preserve">- </w:t>
      </w:r>
      <w:r>
        <w:t xml:space="preserve">интеграл углового момента электронов, а </w:t>
      </w:r>
      <w:r w:rsidRPr="00862C41">
        <w:rPr>
          <w:position w:val="-12"/>
        </w:rPr>
        <w:object w:dxaOrig="580" w:dyaOrig="360">
          <v:shape id="_x0000_i1031" type="#_x0000_t75" style="width:29.25pt;height:18.75pt" o:ole="">
            <v:imagedata r:id="rId21" o:title=""/>
          </v:shape>
          <o:OLEObject Type="Embed" ProgID="Equation.DSMT4" ShapeID="_x0000_i1031" DrawAspect="Content" ObjectID="_1710011326" r:id="rId22"/>
        </w:object>
      </w:r>
      <w:r>
        <w:t xml:space="preserve"> </w:t>
      </w:r>
      <w:r w:rsidRPr="00862C41">
        <w:t xml:space="preserve">- </w:t>
      </w:r>
      <w:r>
        <w:t xml:space="preserve">энтропия электронов. При переходе к естественной системы единиц измерения выясняется, что малый параметр </w:t>
      </w:r>
      <w:r w:rsidRPr="000B3640">
        <w:rPr>
          <w:position w:val="-12"/>
        </w:rPr>
        <w:object w:dxaOrig="1100" w:dyaOrig="360">
          <v:shape id="_x0000_i1032" type="#_x0000_t75" style="width:54.75pt;height:18pt" o:ole="">
            <v:imagedata r:id="rId23" o:title=""/>
          </v:shape>
          <o:OLEObject Type="Embed" ProgID="Equation.DSMT4" ShapeID="_x0000_i1032" DrawAspect="Content" ObjectID="_1710011327" r:id="rId24"/>
        </w:object>
      </w:r>
      <w:r>
        <w:t xml:space="preserve"> вообще не входит в задачу. Величиной характеризующей влияние конечной массы электронов является параметр </w:t>
      </w:r>
      <w:r w:rsidRPr="000B3640">
        <w:rPr>
          <w:position w:val="-12"/>
        </w:rPr>
        <w:object w:dxaOrig="2220" w:dyaOrig="380">
          <v:shape id="_x0000_i1033" type="#_x0000_t75" style="width:111pt;height:18.75pt" o:ole="">
            <v:imagedata r:id="rId25" o:title=""/>
          </v:shape>
          <o:OLEObject Type="Embed" ProgID="Equation.DSMT4" ShapeID="_x0000_i1033" DrawAspect="Content" ObjectID="_1710011328" r:id="rId26"/>
        </w:object>
      </w:r>
      <w:r>
        <w:t xml:space="preserve">, где </w:t>
      </w:r>
      <w:r w:rsidRPr="000B3640">
        <w:rPr>
          <w:position w:val="-12"/>
        </w:rPr>
        <w:object w:dxaOrig="600" w:dyaOrig="360">
          <v:shape id="_x0000_i1034" type="#_x0000_t75" style="width:30pt;height:18pt" o:ole="">
            <v:imagedata r:id="rId27" o:title=""/>
          </v:shape>
          <o:OLEObject Type="Embed" ProgID="Equation.DSMT4" ShapeID="_x0000_i1034" DrawAspect="Content" ObjectID="_1710011329" r:id="rId28"/>
        </w:object>
      </w:r>
      <w:r>
        <w:t xml:space="preserve">- характерные значения плотности и линейного размера. В настоящем докладе будут представлены результаты численного решения соответствующей краевой задачи для ловушек с параметрами близкими к параметрам установок </w:t>
      </w:r>
      <w:r>
        <w:rPr>
          <w:lang w:val="en-US"/>
        </w:rPr>
        <w:t>JET</w:t>
      </w:r>
      <w:r w:rsidRPr="00F42F47">
        <w:t xml:space="preserve"> </w:t>
      </w:r>
      <w:r>
        <w:t xml:space="preserve">или </w:t>
      </w:r>
      <w:r>
        <w:rPr>
          <w:lang w:val="en-US"/>
        </w:rPr>
        <w:t>JT</w:t>
      </w:r>
      <w:r w:rsidRPr="00F42F47">
        <w:t xml:space="preserve">. </w:t>
      </w:r>
      <w:r>
        <w:t xml:space="preserve">Особое внимание уделяется выбору </w:t>
      </w:r>
      <w:r w:rsidRPr="002565FA">
        <w:rPr>
          <w:position w:val="-10"/>
        </w:rPr>
        <w:object w:dxaOrig="580" w:dyaOrig="320">
          <v:shape id="_x0000_i1035" type="#_x0000_t75" style="width:29.25pt;height:16.5pt" o:ole="">
            <v:imagedata r:id="rId17" o:title=""/>
          </v:shape>
          <o:OLEObject Type="Embed" ProgID="Equation.DSMT4" ShapeID="_x0000_i1035" DrawAspect="Content" ObjectID="_1710011330" r:id="rId29"/>
        </w:object>
      </w:r>
      <w:r>
        <w:t>,</w:t>
      </w:r>
      <w:r w:rsidRPr="00862C41">
        <w:rPr>
          <w:position w:val="-10"/>
        </w:rPr>
        <w:object w:dxaOrig="580" w:dyaOrig="320">
          <v:shape id="_x0000_i1036" type="#_x0000_t75" style="width:29.25pt;height:16.5pt" o:ole="">
            <v:imagedata r:id="rId19" o:title=""/>
          </v:shape>
          <o:OLEObject Type="Embed" ProgID="Equation.DSMT4" ShapeID="_x0000_i1036" DrawAspect="Content" ObjectID="_1710011331" r:id="rId30"/>
        </w:object>
      </w:r>
      <w:r>
        <w:t>,</w:t>
      </w:r>
      <w:r w:rsidRPr="00862C41">
        <w:rPr>
          <w:position w:val="-12"/>
        </w:rPr>
        <w:object w:dxaOrig="580" w:dyaOrig="360">
          <v:shape id="_x0000_i1037" type="#_x0000_t75" style="width:29.25pt;height:18.75pt" o:ole="">
            <v:imagedata r:id="rId21" o:title=""/>
          </v:shape>
          <o:OLEObject Type="Embed" ProgID="Equation.DSMT4" ShapeID="_x0000_i1037" DrawAspect="Content" ObjectID="_1710011332" r:id="rId31"/>
        </w:object>
      </w:r>
      <w:r>
        <w:t xml:space="preserve">. Результаты экспериментов часто представляются для сечения </w:t>
      </w:r>
      <w:r w:rsidRPr="00275B41">
        <w:rPr>
          <w:position w:val="-6"/>
        </w:rPr>
        <w:object w:dxaOrig="540" w:dyaOrig="279">
          <v:shape id="_x0000_i1038" type="#_x0000_t75" style="width:27pt;height:14.25pt" o:ole="">
            <v:imagedata r:id="rId32" o:title=""/>
          </v:shape>
          <o:OLEObject Type="Embed" ProgID="Equation.DSMT4" ShapeID="_x0000_i1038" DrawAspect="Content" ObjectID="_1710011333" r:id="rId33"/>
        </w:object>
      </w:r>
      <w:r>
        <w:t xml:space="preserve">. В качестве примера приведем некоторые результаты решения двумерных задач - распределения некоторых величин по радиусу в этом сечении.  </w:t>
      </w:r>
    </w:p>
    <w:p w:rsidR="00BA30EA" w:rsidRPr="003E7655" w:rsidRDefault="00BA30EA" w:rsidP="004641E0">
      <w:pPr>
        <w:pStyle w:val="Zv-bodyreport"/>
        <w:spacing w:line="230" w:lineRule="auto"/>
      </w:pPr>
      <w:r>
        <w:t xml:space="preserve">Представлены распределения </w:t>
      </w:r>
      <w:r w:rsidRPr="005A7ECD">
        <w:rPr>
          <w:position w:val="-12"/>
        </w:rPr>
        <w:object w:dxaOrig="3159" w:dyaOrig="360">
          <v:shape id="_x0000_i1039" type="#_x0000_t75" style="width:158.25pt;height:18pt" o:ole="">
            <v:imagedata r:id="rId34" o:title=""/>
          </v:shape>
          <o:OLEObject Type="Embed" ProgID="Equation.DSMT4" ShapeID="_x0000_i1039" DrawAspect="Content" ObjectID="_1710011334" r:id="rId35"/>
        </w:object>
      </w:r>
      <w:r w:rsidRPr="00646849">
        <w:t>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635"/>
      </w:tblGrid>
      <w:tr w:rsidR="00BA30EA" w:rsidTr="00031204">
        <w:tc>
          <w:tcPr>
            <w:tcW w:w="4219" w:type="dxa"/>
          </w:tcPr>
          <w:p w:rsidR="00BA30EA" w:rsidRDefault="00BA30EA" w:rsidP="004641E0">
            <w:pPr>
              <w:pStyle w:val="Zv-bodyreport"/>
              <w:spacing w:line="230" w:lineRule="auto"/>
              <w:ind w:firstLine="0"/>
              <w:jc w:val="center"/>
            </w:pPr>
            <w:r w:rsidRPr="00D649B9">
              <w:rPr>
                <w:noProof/>
              </w:rPr>
              <w:drawing>
                <wp:anchor distT="0" distB="0" distL="114300" distR="114300" simplePos="0" relativeHeight="251660288" behindDoc="0" locked="1" layoutInCell="1" allowOverlap="1">
                  <wp:simplePos x="0" y="0"/>
                  <wp:positionH relativeFrom="column">
                    <wp:posOffset>842010</wp:posOffset>
                  </wp:positionH>
                  <wp:positionV relativeFrom="paragraph">
                    <wp:posOffset>0</wp:posOffset>
                  </wp:positionV>
                  <wp:extent cx="869950" cy="1003300"/>
                  <wp:effectExtent l="19050" t="0" r="6350" b="0"/>
                  <wp:wrapTopAndBottom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1003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35" w:type="dxa"/>
          </w:tcPr>
          <w:p w:rsidR="00BA30EA" w:rsidRDefault="00BA30EA" w:rsidP="004641E0">
            <w:pPr>
              <w:pStyle w:val="Zv-bodyreport"/>
              <w:spacing w:line="230" w:lineRule="auto"/>
              <w:ind w:firstLine="0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1" layoutInCell="1" allowOverlap="1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0</wp:posOffset>
                  </wp:positionV>
                  <wp:extent cx="2597150" cy="1066800"/>
                  <wp:effectExtent l="19050" t="0" r="0" b="0"/>
                  <wp:wrapTopAndBottom/>
                  <wp:docPr id="9" name="Рисунок 8" descr="JUPe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UPe_3.jpg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7150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BA30EA" w:rsidRDefault="00BA30EA" w:rsidP="004641E0">
      <w:pPr>
        <w:pStyle w:val="Zv-bodyreport"/>
        <w:spacing w:line="230" w:lineRule="auto"/>
      </w:pPr>
      <w:r>
        <w:t xml:space="preserve">Автор благодарен М.Б.Гаврикову за </w:t>
      </w:r>
      <w:r w:rsidRPr="002508E6">
        <w:t>полезные</w:t>
      </w:r>
      <w:r>
        <w:t xml:space="preserve"> обсуждения.</w:t>
      </w:r>
    </w:p>
    <w:p w:rsidR="00BA30EA" w:rsidRDefault="00BA30EA" w:rsidP="004641E0">
      <w:pPr>
        <w:pStyle w:val="Zv-TitleReferences-ru"/>
        <w:spacing w:line="230" w:lineRule="auto"/>
      </w:pPr>
      <w:r>
        <w:t xml:space="preserve">Литература </w:t>
      </w:r>
    </w:p>
    <w:p w:rsidR="00BA30EA" w:rsidRPr="00640B08" w:rsidRDefault="00BA30EA" w:rsidP="004641E0">
      <w:pPr>
        <w:pStyle w:val="Zv-References-ru"/>
        <w:numPr>
          <w:ilvl w:val="0"/>
          <w:numId w:val="1"/>
        </w:numPr>
        <w:spacing w:line="230" w:lineRule="auto"/>
        <w:rPr>
          <w:lang w:val="en-US"/>
        </w:rPr>
      </w:pPr>
      <w:r w:rsidRPr="00640B08">
        <w:rPr>
          <w:lang w:val="en-US"/>
        </w:rPr>
        <w:t>A.I. Morozov and L.S. Solovyev, in Reviews of Plasma Physics, Ed. by M. A. Leontovich (Consultants Bureau, New York, 1980), Vol. 8, p. 1.</w:t>
      </w:r>
    </w:p>
    <w:p w:rsidR="00BA30EA" w:rsidRPr="00640B08" w:rsidRDefault="00BA30EA" w:rsidP="004641E0">
      <w:pPr>
        <w:pStyle w:val="Zv-References-ru"/>
        <w:numPr>
          <w:ilvl w:val="0"/>
          <w:numId w:val="1"/>
        </w:numPr>
        <w:spacing w:line="230" w:lineRule="auto"/>
        <w:rPr>
          <w:lang w:val="en-US"/>
        </w:rPr>
      </w:pPr>
      <w:r w:rsidRPr="00640B08">
        <w:rPr>
          <w:lang w:val="en-US"/>
        </w:rPr>
        <w:t>A.I. Morozov, Introduction to Plasma Dynamics (Fizmatlit, Moscow, 2006; CRC, Boca Raton, FL, 2012).</w:t>
      </w:r>
    </w:p>
    <w:p w:rsidR="00BA30EA" w:rsidRPr="002508E6" w:rsidRDefault="00BA30EA" w:rsidP="004641E0">
      <w:pPr>
        <w:pStyle w:val="Zv-References-ru"/>
        <w:numPr>
          <w:ilvl w:val="0"/>
          <w:numId w:val="1"/>
        </w:numPr>
        <w:spacing w:line="230" w:lineRule="auto"/>
        <w:rPr>
          <w:lang w:val="en-US"/>
        </w:rPr>
      </w:pPr>
      <w:r w:rsidRPr="00640B08">
        <w:rPr>
          <w:lang w:val="en-US"/>
        </w:rPr>
        <w:t>Savelyev V.V. Plasma Physics Reports, 2019, Vol. 45, No. 1, pp. 63–68.</w:t>
      </w:r>
    </w:p>
    <w:p w:rsidR="00BA30EA" w:rsidRPr="00640B08" w:rsidRDefault="00BA30EA" w:rsidP="004641E0">
      <w:pPr>
        <w:pStyle w:val="Zv-References-ru"/>
        <w:numPr>
          <w:ilvl w:val="0"/>
          <w:numId w:val="1"/>
        </w:numPr>
        <w:spacing w:line="230" w:lineRule="auto"/>
        <w:rPr>
          <w:lang w:val="en-US"/>
        </w:rPr>
      </w:pPr>
      <w:r>
        <w:rPr>
          <w:lang w:val="en-US"/>
        </w:rPr>
        <w:t xml:space="preserve">V.V.Savelyev 2020 </w:t>
      </w:r>
      <w:r w:rsidRPr="002508E6">
        <w:rPr>
          <w:i/>
          <w:lang w:val="en-US"/>
        </w:rPr>
        <w:t>J.</w:t>
      </w:r>
      <w:r>
        <w:rPr>
          <w:i/>
          <w:lang w:val="en-US"/>
        </w:rPr>
        <w:t>Phys:Conf.Ser.</w:t>
      </w:r>
      <w:r w:rsidRPr="002508E6">
        <w:rPr>
          <w:b/>
          <w:lang w:val="en-US"/>
        </w:rPr>
        <w:t>1647</w:t>
      </w:r>
      <w:r>
        <w:rPr>
          <w:b/>
          <w:lang w:val="en-US"/>
        </w:rPr>
        <w:t xml:space="preserve"> </w:t>
      </w:r>
      <w:r>
        <w:rPr>
          <w:lang w:val="en-US"/>
        </w:rPr>
        <w:t>012006</w:t>
      </w:r>
    </w:p>
    <w:sectPr w:rsidR="00BA30EA" w:rsidRPr="00640B08" w:rsidSect="00F95123">
      <w:headerReference w:type="default" r:id="rId38"/>
      <w:footerReference w:type="even" r:id="rId39"/>
      <w:footerReference w:type="default" r:id="rId4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324C" w:rsidRDefault="00E5324C">
      <w:r>
        <w:separator/>
      </w:r>
    </w:p>
  </w:endnote>
  <w:endnote w:type="continuationSeparator" w:id="0">
    <w:p w:rsidR="00E5324C" w:rsidRDefault="00E532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E2669" w:rsidP="00654A7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7688844"/>
      <w:docPartObj>
        <w:docPartGallery w:val="Page Numbers (Bottom of Page)"/>
        <w:docPartUnique/>
      </w:docPartObj>
    </w:sdtPr>
    <w:sdtContent>
      <w:p w:rsidR="00FE6C3E" w:rsidRDefault="00FE6C3E">
        <w:pPr>
          <w:pStyle w:val="a4"/>
          <w:jc w:val="center"/>
        </w:pPr>
        <w:r>
          <w:rPr>
            <w:lang w:val="en-US"/>
          </w:rPr>
          <w:t>47</w:t>
        </w:r>
      </w:p>
    </w:sdtContent>
  </w:sdt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324C" w:rsidRDefault="00E5324C">
      <w:r>
        <w:separator/>
      </w:r>
    </w:p>
  </w:footnote>
  <w:footnote w:type="continuationSeparator" w:id="0">
    <w:p w:rsidR="00E5324C" w:rsidRDefault="00E5324C">
      <w:r>
        <w:continuationSeparator/>
      </w:r>
    </w:p>
  </w:footnote>
  <w:footnote w:id="1">
    <w:p w:rsidR="004641E0" w:rsidRPr="004641E0" w:rsidRDefault="004641E0">
      <w:pPr>
        <w:pStyle w:val="aa"/>
        <w:rPr>
          <w:lang w:val="en-US"/>
        </w:rPr>
      </w:pPr>
      <w:r>
        <w:rPr>
          <w:rStyle w:val="ac"/>
        </w:rPr>
        <w:t>*)</w:t>
      </w:r>
      <w:r>
        <w:t xml:space="preserve"> </w:t>
      </w:r>
      <w:r w:rsidRPr="004641E0">
        <w:t xml:space="preserve"> </w:t>
      </w:r>
      <w:hyperlink r:id="rId1" w:history="1">
        <w:r w:rsidRPr="004641E0">
          <w:rPr>
            <w:rStyle w:val="a9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XLIX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C62CFE" w:rsidRPr="00BA30EA">
      <w:rPr>
        <w:sz w:val="20"/>
      </w:rPr>
      <w:t>14</w:t>
    </w:r>
    <w:r w:rsidR="00C62CFE">
      <w:rPr>
        <w:sz w:val="20"/>
      </w:rPr>
      <w:t xml:space="preserve"> – </w:t>
    </w:r>
    <w:r w:rsidR="00C62CFE" w:rsidRPr="00BA30EA">
      <w:rPr>
        <w:sz w:val="20"/>
      </w:rPr>
      <w:t>18</w:t>
    </w:r>
    <w:r w:rsidR="00C62CFE">
      <w:rPr>
        <w:sz w:val="20"/>
      </w:rPr>
      <w:t xml:space="preserve"> марта 20</w:t>
    </w:r>
    <w:r w:rsidR="00C62CFE" w:rsidRPr="00BA30EA">
      <w:rPr>
        <w:sz w:val="20"/>
      </w:rPr>
      <w:t>22</w:t>
    </w:r>
    <w:r w:rsidR="00C62CFE">
      <w:rPr>
        <w:sz w:val="20"/>
      </w:rPr>
      <w:t xml:space="preserve"> г.</w:t>
    </w:r>
  </w:p>
  <w:p w:rsidR="00654A7B" w:rsidRDefault="00FE2669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E6C3E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641E0"/>
    <w:rsid w:val="004A77D1"/>
    <w:rsid w:val="004B72AA"/>
    <w:rsid w:val="004F4E29"/>
    <w:rsid w:val="00567C6F"/>
    <w:rsid w:val="00572013"/>
    <w:rsid w:val="0058676C"/>
    <w:rsid w:val="00617E8E"/>
    <w:rsid w:val="00650CBC"/>
    <w:rsid w:val="00654A7B"/>
    <w:rsid w:val="0066672D"/>
    <w:rsid w:val="006673EE"/>
    <w:rsid w:val="00683140"/>
    <w:rsid w:val="006A1743"/>
    <w:rsid w:val="006F68D0"/>
    <w:rsid w:val="00732A2E"/>
    <w:rsid w:val="007B6378"/>
    <w:rsid w:val="007C2080"/>
    <w:rsid w:val="00802D35"/>
    <w:rsid w:val="008E2894"/>
    <w:rsid w:val="009352E6"/>
    <w:rsid w:val="0094721E"/>
    <w:rsid w:val="00A66876"/>
    <w:rsid w:val="00A71613"/>
    <w:rsid w:val="00AB3459"/>
    <w:rsid w:val="00AD7670"/>
    <w:rsid w:val="00B622ED"/>
    <w:rsid w:val="00B9584E"/>
    <w:rsid w:val="00BA30EA"/>
    <w:rsid w:val="00BD05EF"/>
    <w:rsid w:val="00C103CD"/>
    <w:rsid w:val="00C232A0"/>
    <w:rsid w:val="00C62CFE"/>
    <w:rsid w:val="00CA791E"/>
    <w:rsid w:val="00CE0E75"/>
    <w:rsid w:val="00D47F19"/>
    <w:rsid w:val="00DA4715"/>
    <w:rsid w:val="00DE16AD"/>
    <w:rsid w:val="00DF1C1D"/>
    <w:rsid w:val="00DF6D4D"/>
    <w:rsid w:val="00E1331D"/>
    <w:rsid w:val="00E5324C"/>
    <w:rsid w:val="00E7021A"/>
    <w:rsid w:val="00E87733"/>
    <w:rsid w:val="00F74399"/>
    <w:rsid w:val="00F95123"/>
    <w:rsid w:val="00FA3FAE"/>
    <w:rsid w:val="00FE2669"/>
    <w:rsid w:val="00FE6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30EA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qFormat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table" w:styleId="a8">
    <w:name w:val="Table Grid"/>
    <w:basedOn w:val="a1"/>
    <w:rsid w:val="00BA30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rsid w:val="00BA30EA"/>
    <w:rPr>
      <w:color w:val="0000FF" w:themeColor="hyperlink"/>
      <w:u w:val="single"/>
    </w:rPr>
  </w:style>
  <w:style w:type="character" w:customStyle="1" w:styleId="a5">
    <w:name w:val="Нижний колонтитул Знак"/>
    <w:basedOn w:val="a0"/>
    <w:link w:val="a4"/>
    <w:uiPriority w:val="99"/>
    <w:rsid w:val="00FE6C3E"/>
    <w:rPr>
      <w:sz w:val="24"/>
      <w:szCs w:val="24"/>
    </w:rPr>
  </w:style>
  <w:style w:type="paragraph" w:styleId="aa">
    <w:name w:val="footnote text"/>
    <w:basedOn w:val="a"/>
    <w:link w:val="ab"/>
    <w:rsid w:val="004641E0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4641E0"/>
  </w:style>
  <w:style w:type="character" w:styleId="ac">
    <w:name w:val="footnote reference"/>
    <w:basedOn w:val="a0"/>
    <w:rsid w:val="004641E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vvvv@rambler.ru" TargetMode="Externa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34" Type="http://schemas.openxmlformats.org/officeDocument/2006/relationships/image" Target="media/image12.wmf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oleObject" Target="embeddings/oleObject14.bin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oleObject" Target="embeddings/oleObject11.bin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image" Target="media/image11.wmf"/><Relationship Id="rId37" Type="http://schemas.openxmlformats.org/officeDocument/2006/relationships/image" Target="media/image14.jpeg"/><Relationship Id="rId40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image" Target="media/image13.png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oleObject" Target="embeddings/oleObject13.bin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5.bin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IX/Mu/en/BZ-Savel'e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2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875F0B-C54C-4980-BFE8-136495875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Zven_2022_r.dotx</Template>
  <TotalTime>6</TotalTime>
  <Pages>1</Pages>
  <Words>258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ИССЛЕДОВАНИЕ РАВНОВЕСНЫХ ПЛАЗМЕННЫХ КОНФИГУРАЦИЙ В ТОРОИДАЛЬНЫХ ЛОВУШКАХ С ВЫТЯНУТЫМ ПО Z СЕЧЕНИЕМ НА ОСНОВЕ УРАВНЕНИЙ МОРОЗОВА-СОЛОВЬЕВА</dc:title>
  <dc:creator/>
  <cp:lastModifiedBy>Сатунин</cp:lastModifiedBy>
  <cp:revision>3</cp:revision>
  <cp:lastPrinted>1601-01-01T00:00:00Z</cp:lastPrinted>
  <dcterms:created xsi:type="dcterms:W3CDTF">2022-02-28T21:28:00Z</dcterms:created>
  <dcterms:modified xsi:type="dcterms:W3CDTF">2022-03-28T19:22:00Z</dcterms:modified>
</cp:coreProperties>
</file>