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69" w:rsidRPr="00B75CF4" w:rsidRDefault="00184069" w:rsidP="00B75CF4">
      <w:pPr>
        <w:pStyle w:val="Zv-Titlereport"/>
        <w:spacing w:line="230" w:lineRule="auto"/>
      </w:pPr>
      <w:r w:rsidRPr="0015522E">
        <w:t>Оценка уровня готовности технологий воспроизводства трития и обеспечения тритиевой безопасности в России на примере проекта ДЕМО-ТИН</w:t>
      </w:r>
      <w:r w:rsidR="00B75CF4" w:rsidRPr="00B75CF4">
        <w:t xml:space="preserve"> </w:t>
      </w:r>
      <w:r w:rsidR="00B75CF4">
        <w:rPr>
          <w:rStyle w:val="ab"/>
        </w:rPr>
        <w:footnoteReference w:customMarkFollows="1" w:id="1"/>
        <w:t>*)</w:t>
      </w:r>
    </w:p>
    <w:p w:rsidR="00184069" w:rsidRDefault="00184069" w:rsidP="00B75CF4">
      <w:pPr>
        <w:pStyle w:val="Zv-Author"/>
        <w:spacing w:line="230" w:lineRule="auto"/>
      </w:pPr>
      <w:r w:rsidRPr="0015522E">
        <w:t>Иванов</w:t>
      </w:r>
      <w:r>
        <w:t xml:space="preserve"> Б.В.</w:t>
      </w:r>
      <w:r w:rsidRPr="0015522E">
        <w:t xml:space="preserve">, </w:t>
      </w:r>
      <w:r w:rsidRPr="000C2CEC">
        <w:rPr>
          <w:u w:val="single"/>
        </w:rPr>
        <w:t>Ананьев С</w:t>
      </w:r>
      <w:r w:rsidRPr="001D3B89">
        <w:rPr>
          <w:u w:val="single"/>
        </w:rPr>
        <w:t>.С.</w:t>
      </w:r>
    </w:p>
    <w:p w:rsidR="00184069" w:rsidRPr="00184069" w:rsidRDefault="00184069" w:rsidP="00B75CF4">
      <w:pPr>
        <w:pStyle w:val="Zv-Organization"/>
        <w:spacing w:line="230" w:lineRule="auto"/>
      </w:pPr>
      <w:r w:rsidRPr="00D168D9">
        <w:t xml:space="preserve">НИЦ «Курчатовский </w:t>
      </w:r>
      <w:r w:rsidRPr="00184069">
        <w:t>институт</w:t>
      </w:r>
      <w:r w:rsidRPr="00D168D9">
        <w:t xml:space="preserve">», </w:t>
      </w:r>
      <w:r>
        <w:t xml:space="preserve">г. </w:t>
      </w:r>
      <w:r w:rsidRPr="00D168D9">
        <w:t>Москва, Россия,</w:t>
      </w:r>
      <w:r w:rsidRPr="0015522E">
        <w:t xml:space="preserve"> </w:t>
      </w:r>
      <w:hyperlink r:id="rId8" w:history="1">
        <w:r w:rsidRPr="00E54841">
          <w:rPr>
            <w:rStyle w:val="a8"/>
            <w:lang w:val="en-US"/>
          </w:rPr>
          <w:t>kapjicohh</w:t>
        </w:r>
        <w:r w:rsidRPr="00E54841">
          <w:rPr>
            <w:rStyle w:val="a8"/>
          </w:rPr>
          <w:t>@</w:t>
        </w:r>
        <w:r w:rsidRPr="00E54841">
          <w:rPr>
            <w:rStyle w:val="a8"/>
            <w:lang w:val="en-US"/>
          </w:rPr>
          <w:t>gmail</w:t>
        </w:r>
        <w:r w:rsidRPr="00E54841">
          <w:rPr>
            <w:rStyle w:val="a8"/>
          </w:rPr>
          <w:t>.</w:t>
        </w:r>
        <w:r w:rsidRPr="00E54841">
          <w:rPr>
            <w:rStyle w:val="a8"/>
            <w:lang w:val="en-US"/>
          </w:rPr>
          <w:t>com</w:t>
        </w:r>
      </w:hyperlink>
    </w:p>
    <w:p w:rsidR="00184069" w:rsidRDefault="00184069" w:rsidP="00B75CF4">
      <w:pPr>
        <w:pStyle w:val="Zv-bodyreport"/>
        <w:spacing w:line="230" w:lineRule="auto"/>
      </w:pPr>
      <w:r>
        <w:t xml:space="preserve">В докладе авторы продолжают анализ технологий тритиевого топливного цикла (ТЦ) в России и мире начатый ранее </w:t>
      </w:r>
      <w:r w:rsidR="000F5396">
        <w:fldChar w:fldCharType="begin" w:fldLock="1"/>
      </w:r>
      <w:r>
        <w:instrText>ADDIN CSL_CITATION {"citationItems":[{"id":"ITEM-1","itemData":{"DOI":"10.1088/1741-4326/ac28ad","ISBN":"9780801894589","ISSN":"0029-5515","abstract":"Infrared cameras are becoming increasingly popular in clinical applications as they allow fast, non-contact temperature measurements. As abnormal heat distribution can indicate illness, infrared cameras have been applied in the prediction, diagnosis and monitoring of conditions (Lahiri et al 2012). Current practices, however, often overlook the importance of emissivity when taking thermal measurements. The consensus is that human skin has an emissivity of 0.98 (Soerensen et al 2014) but this value varies between individuals, areas examined and whether the skin is damaged. In particular, further research should be conducted on the emissivity variations of wounds. This research investigated the emissivity variation of chronic wounds and its effect on thermal measurements. Eleven patients with non-infected foot ulcers were recruited. Three non-diabetic wounds were also investigated. A reflectance based method was used which involved alternating shades at different temperatures over the region of interest. Based on the change in the thermal images, emissivity was calculated at each pixel. Overall, it was found that the emissivity of wounds was similar or slightly higher to intact skin (range 0.01 – 0.03 higher with an average value of 0.97 ± 0.03), with lower values at wound edges (on average 0.02 lower than intact skin). Correcting for emissivity resulted in an average temperature difference of 0.83% in the thermal images.","author":[{"dropping-particle":"","family":"Ananyev","given":"Sergey S","non-dropping-particle":"","parse-names":false,"suffix":""},{"dropping-particle":"","family":"Ivanov","given":"Boris","non-dropping-particle":"","parse-names":false,"suffix":""},{"dropping-particle":"","family":"Dnestrovskiy","given":"Alexey","non-dropping-particle":"","parse-names":false,"suffix":""},{"dropping-particle":"","family":"Kukushkin","given":"Andrei S","non-dropping-particle":"","parse-names":false,"suffix":""},{"dropping-particle":"","family":"Spitsyn","given":"Alexander","non-dropping-particle":"","parse-names":false,"suffix":""},{"dropping-particle":"V","family":"Kuteev","given":"Boris","non-dropping-particle":"","parse-names":false,"suffix":""}],"container-title":"Nuclear Fusion","id":"ITEM-1","issue":"Ii","issued":{"date-parts":[["2021","9","21"]]},"page":"https://doi.org/10.1088/1361-6463/aad7de","title":"Concept development and candidate technologies selection for the DEMO-FNS fuel cycle systems","type":"article-journal"},"uris":["http://www.mendeley.com/documents/?uuid=9ae9edb8-a2c3-4f99-a398-c541defbed85"]},{"id":"ITEM-2","itemData":{"author":[{"dropping-particle":"","family":"Иванов","given":"Б.В.","non-dropping-particle":"","parse-names":false,"suffix":""},{"dropping-particle":"","family":"Ананьев","given":"С.С.","non-dropping-particle":"","parse-names":false,"suffix":""}],"container-title":"XLVIII Mеждународная (звенигородская) конференция по физике плазмы и управляемому термоядерному синтезу","id":"ITEM-2","issued":{"date-parts":[["2021"]]},"page":"http://www.fpl.gpi.ru/Zvenigorod/XLVIII/Mu/ru/AE-I","title":"Анализ уровня готовности технологий тритиевого цикла в россии для гибридного реактора ДЕМО-ТИН","type":"paper-conference"},"uris":["http://www.mendeley.com/documents/?uuid=b25c93fc-cfd8-4793-9e79-fb675c47955a"]}],"mendeley":{"formattedCitation":"[1], [2]","plainTextFormattedCitation":"[1], [2]","previouslyFormattedCitation":"[1], [2]"},"properties":{"noteIndex":0},"schema":"https://github.com/citation-style-language/schema/raw/master/csl-citation.json"}</w:instrText>
      </w:r>
      <w:r w:rsidR="000F5396">
        <w:fldChar w:fldCharType="separate"/>
      </w:r>
      <w:r w:rsidRPr="00DE59FE">
        <w:rPr>
          <w:noProof/>
        </w:rPr>
        <w:t>[1, 2]</w:t>
      </w:r>
      <w:r w:rsidR="000F5396">
        <w:fldChar w:fldCharType="end"/>
      </w:r>
      <w:r>
        <w:t xml:space="preserve">. Анализ дополнен обзором технологий: получения трития в бланкете термоядерного реактора; получения и подготовки бридерных материалов; извлечения трития из бланкета; хранения трития в топливном цикле; обеспечения тритиевой безопасности и анализа тритийсодержащих веществ, а также технологий инжекции топлива в плазму и откачки камеры токамака. С учетом ранее полученных результатов, проведена полная оценка тритиевых технологий для всех систем топливного цикла проектируемого гибридного (синтез -деление) реактора ДЕМО-ТИН </w:t>
      </w:r>
      <w:r w:rsidR="000F5396">
        <w:fldChar w:fldCharType="begin" w:fldLock="1"/>
      </w:r>
      <w:r>
        <w:instrText xml:space="preserve">ADDIN CSL_CITATION {"citationItems":[{"id":"ITEM-1","itemData":{"DOI":"10.1088/0029-5515/55/7/073035","ISSN":"0029-5515","abstract":"The history of fusion-fission hybrid systems based on a tokamak device as an extremely efficient DT-fusion neutron source has passed through several periods of ample research activity in the world since the very beginning of fusion research in the 1950s. Recently, a new roadmap of the hybrid program has been proposed with the goal to build a pilot hybrid plant (PHP) in Russia by 2030. Development of the DEMO-FNS tokamak for fusion and hybrid technologies, which is planned to be built by 2023, is the key milestone on the path to the PHP. This facility is in the phase of conceptual design aimed at providing feasibility studies for a full set of steady state tokamak technologies at a fusion energy gain factor Q </w:instrText>
      </w:r>
      <w:r>
        <w:rPr>
          <w:rFonts w:ascii="Cambria Math" w:hAnsi="Cambria Math" w:cs="Cambria Math"/>
        </w:rPr>
        <w:instrText>∼</w:instrText>
      </w:r>
      <w:r>
        <w:instrText xml:space="preserve"> 1, fusion power of </w:instrText>
      </w:r>
      <w:r>
        <w:rPr>
          <w:rFonts w:ascii="Cambria Math" w:hAnsi="Cambria Math" w:cs="Cambria Math"/>
        </w:rPr>
        <w:instrText>∼</w:instrText>
      </w:r>
      <w:r>
        <w:instrText xml:space="preserve"> 40 MW and opportunities for testing a wide range of hybrid technologies with the emphasis on continuous nuclide processing in molten salts. This paper describes the project motivations, its current status and the key issues of the design.","author":[{"dropping-particle":"","family":"Kuteev","given":"B.V.","non-dropping-particle":"","parse-names":false,"suffix":""},{"dropping-particle":"","family":"Azizov","given":"E.A.","non-dropping-particle":"","parse-names":false,"suffix":""},{"dropping-particle":"","family":"Alexeev","given":"P.N.","non-dropping-particle":"","parse-names":false,"suffix":""},{"dropping-particle":"","family":"Ignatiev","given":"V.V.","non-dropping-particle":"","parse-names":false,"suffix":""},{"dropping-particle":"","family":"Subbotin","given":"S.A.","non-dropping-particle":"","parse-names":false,"suffix":""},{"dropping-particle":"","family":"Tsibulskiy","given":"V.F.","non-dropping-particle":"","parse-names":false,"suffix":""}],"container-title":"Nuclear Fusion","id":"ITEM-1","issue":"7","issued":{"date-parts":[["2015","7","1"]]},"page":"073035","publisher":"IOP Publishing","title":"Development of DEMO-FNS tokamak for fusion and hybrid technologies","type":"article-journal","volume":"55"},"uris":["http://www.mendeley.com/documents/?uuid=1745ded5-8c54-4e54-bb13-cc4b8fefab3b"]},{"id":"ITEM-2","itemData":{"DOI":"10.1134/S1063778816070036","ISBN":"1063778816","ISSN":"10637788","abstract":"The level of knowledge accumulated to date in the physics and technologies of controlled thermonuclear fusion (CTF) makes it possible to begin designing fusion—fission hybrid systems that would involve a fusion neutron source (FNS) and which would admit employment for the production of fissile materials and for the transmutation of spent nuclear fuel. Modern Russian strategies for CTF development plan the construction to 2023 of tokamak-based demonstration hybrid FNS for implementing steady-state plasma burning, testing hybrid blankets, and evolving nuclear technologies. Work on designing the DEMO-FNS facility is still in its infancy. The Efremov Institute began designing its magnet system and vacuum chamber, while the Kurchatov Institute developed plasma-physics design aspects and determined basic parameters of the facility. The major radius of the plasma in the DEMO-FNS facility is R = 2.75 m, while its minor radius is a = 1 m; the plasma elongation is k95 = 2. The fusion power is PFUS = 40 MW. The toroidal magnetic field on the plasma-filament axis is Bt0 = 5 T. The plasma current is Ip = 5 MA. The application of superconductors in the magnet system permits drastically reducing the power consumed by its magnets but requires arranging a thick radiation shield between the plasma and magnet system. The central solenoid, toroidal-field coils, and poloidal-field coils are manufactured from, respectively, Nb3Sn, NbTi and Nb3Sn, and NbTi. The vacuum chamber is a double-wall vessel. The space between the walls manufactured from 316L austenitic steel is filled with an iron—water radiation shield (70% of stainless steel and 30% of water).","author":[{"dropping-particle":"","family":"Azizov","given":"E. A.","non-dropping-particle":"","parse-names":false,"suffix":""},{"dropping-particle":"","family":"Ananyev","given":"S. S.","non-dropping-particle":"","parse-names":false,"suffix":""},{"dropping-particle":"","family":"Belyakov","given":"V. A.","non-dropping-particle":"","parse-names":false,"suffix":""},{"dropping-particle":"","family":"Bondarchuk","given":"E. N.","non-dropping-particle":"","parse-names":false,"suffix":""},{"dropping-particle":"","family":"Voronova","given":"A. A.","non-dropping-particle":"","parse-names":false,"suffix":""},{"dropping-particle":"","family":"Golikov","given":"A. A.","non-dropping-particle":"","parse-names":false,"suffix":""},{"dropping-particle":"","family":"Goncharov","given":"P. R.","non-dropping-particle":"","parse-names":false,"suffix":""},{"dropping-particle":"","family":"Dnestrovskij","given":"A. Yu","non-dropping-particle":"","parse-names":false,"suffix":""},{"dropping-particle":"","family":"Zapretilina","given":"E. R.","non-dropping-particle":"","parse-names":false,"suffix":""},{"dropping-particle":"","family":"Ivanov","given":"D. P.","non-dropping-particle":"","parse-names":false,"suffix":""},{"dropping-particle":"","family":"Kavin","given":"A. A.","non-dropping-particle":"","parse-names":false,"suffix":""},{"dropping-particle":"V.","family":"Kedrov","given":"I.","non-dropping-particle":"","parse-names":false,"suffix":""},{"dropping-particle":"V.","family":"Klischenko","given":"A.","non-dropping-particle":"","parse-names":false,"suffix":""},{"dropping-particle":"","family":"Kolbasov","given":"B. N.","non-dropping-particle":"","parse-names":false,"suffix":""},{"dropping-particle":"V.","family":"Krasnov","given":"S.","non-dropping-particle":"","parse-names":false,"suffix":""},{"dropping-particle":"","family":"Krylov","given":"A. I.","non-dropping-particle":"","parse-names":false,"suffix":""},{"dropping-particle":"","family":"Krylov","given":"V. A.","non-dropping-particle":"","parse-names":false,"suffix":""},{"dropping-particle":"","family":"Kuzmin","given":"E. G.","non-dropping-particle":"","parse-names":false,"suffix":""},{"dropping-particle":"V.","family":"Kuteev","given":"B.","non-dropping-particle":"","parse-names":false,"suffix":""},{"dropping-particle":"","family":"Labusov","given":"A. N.","non-dropping-particle":"","parse-names":false,"suffix":""},{"dropping-particle":"","family":"Lukash","given":"V. E.","non-dropping-particle":"","parse-names":false,"suffix":""},{"dropping-particle":"","family":"Maximova","given":"I. I.","non-dropping-particle":"","parse-names":false,"suffix":""},{"dropping-particle":"","family":"Medvedev","given":"S. Yu","non-dropping-particle":"","parse-names":false,"suffix":""},{"dropping-particle":"","family":"Mineev","given":"A. B.","non-dropping-particle":"","parse-names":false,"suffix":""},{"dropping-particle":"","family":"Muratov","given":"V. P.","non-dropping-particle":"","parse-names":false,"suffix":""},{"dropping-particle":"","family":"Petrov","given":"V. S.","non-dropping-particle":"","parse-names":false,"suffix":""},{"dropping-particle":"","family":"Rodin","given":"I. Yu","non-dropping-particle":"","parse-names":false,"suffix":""},{"dropping-particle":"","family":"Sergeev","given":"V. Yu","non-dropping-particle":"","parse-names":false,"suffix":""},{"dropping-particle":"V.","family":"Spitsyn","given":"A.","non-dropping-particle":"","parse-names":false,"suffix":""},{"dropping-particle":"","family":"Tanchuk","given":"V. N.","non-dropping-particle":"","parse-names":false,"suffix":""},{"dropping-particle":"","family":"Trofimov","given":"V. A.","non-dropping-particle":"","parse-names":false,"suffix":""},{"dropping-particle":"","family":"Khayrutdinov","given":"R. R.","non-dropping-particle":"","parse-names":false,"suffix":""},{"dropping-particle":"V.","family":"Khokhlov","given":"M.","non-dropping-particle":"","parse-names":false,"suffix":""},{"dropping-particle":"","family":"Shpanskiy","given":"Yu S.","non-dropping-particle":"","parse-names":false,"suffix":""}],"container-title":"Physics of Atomic Nuclei","id":"ITEM-2","issue":"7","issued":{"date-parts":[["2016"]]},"page":"1125-1136","title":"Tokamak DEMO-FNS: Concept of magnet system and vacuum chamber","type":"article-journal","volume":"79"},"uris":["http://www.mendeley.com/documents/?uuid=26eacd55-dca0-4acc-a7b5-c57d9351c756"]}],"mendeley":{"formattedCitation":"[3], [4]","plainTextFormattedCitation":"[3], [4]"},"properties":{"noteIndex":0},"schema":"https://github.com/citation-style-language/schema/raw/master/csl-citation.json"}</w:instrText>
      </w:r>
      <w:r w:rsidR="000F5396">
        <w:fldChar w:fldCharType="separate"/>
      </w:r>
      <w:r w:rsidRPr="002D6AEB">
        <w:rPr>
          <w:noProof/>
        </w:rPr>
        <w:t>[3, 4]</w:t>
      </w:r>
      <w:r w:rsidR="000F5396">
        <w:fldChar w:fldCharType="end"/>
      </w:r>
      <w:r>
        <w:t>.</w:t>
      </w:r>
    </w:p>
    <w:p w:rsidR="00184069" w:rsidRDefault="00184069" w:rsidP="00B75CF4">
      <w:pPr>
        <w:pStyle w:val="Zv-bodyreport"/>
        <w:spacing w:line="230" w:lineRule="auto"/>
      </w:pPr>
      <w:r>
        <w:t>Анализ был проведен с помощью методики оценки уровня технологической готовности (</w:t>
      </w:r>
      <w:r>
        <w:rPr>
          <w:lang w:val="en-US"/>
        </w:rPr>
        <w:t>Technology</w:t>
      </w:r>
      <w:r w:rsidRPr="002D6AEB">
        <w:t xml:space="preserve"> </w:t>
      </w:r>
      <w:r>
        <w:rPr>
          <w:lang w:val="en-US"/>
        </w:rPr>
        <w:t>readiness</w:t>
      </w:r>
      <w:r w:rsidRPr="002D6AEB">
        <w:t xml:space="preserve"> </w:t>
      </w:r>
      <w:r>
        <w:rPr>
          <w:lang w:val="en-US"/>
        </w:rPr>
        <w:t>level</w:t>
      </w:r>
      <w:r w:rsidRPr="002D6AEB">
        <w:t xml:space="preserve">, </w:t>
      </w:r>
      <w:r>
        <w:rPr>
          <w:lang w:val="en-US"/>
        </w:rPr>
        <w:t>TRL</w:t>
      </w:r>
      <w:r w:rsidRPr="002D6AEB">
        <w:t xml:space="preserve">), </w:t>
      </w:r>
      <w:r>
        <w:t>разработанный</w:t>
      </w:r>
      <w:r w:rsidRPr="002D6AEB">
        <w:t xml:space="preserve"> Национальн</w:t>
      </w:r>
      <w:r>
        <w:t>ым</w:t>
      </w:r>
      <w:r w:rsidRPr="002D6AEB">
        <w:t xml:space="preserve"> управлени</w:t>
      </w:r>
      <w:r>
        <w:t>ем</w:t>
      </w:r>
      <w:r w:rsidRPr="002D6AEB">
        <w:t xml:space="preserve"> по аэронавтике и исследованию космического пространства </w:t>
      </w:r>
      <w:r>
        <w:t>США (анг.</w:t>
      </w:r>
      <w:r>
        <w:rPr>
          <w:lang w:val="en-US"/>
        </w:rPr>
        <w:t> </w:t>
      </w:r>
      <w:r>
        <w:t xml:space="preserve">NASA). Методика позволяет на основе объективных </w:t>
      </w:r>
      <w:r w:rsidRPr="006810CE">
        <w:t>и системных критериев количественно оценить зрелость конкретной технологии в целевой сфере применения</w:t>
      </w:r>
      <w:r>
        <w:t xml:space="preserve">. Шкала оценки включает 9 уровней, которые соответствуют: </w:t>
      </w:r>
      <w:r w:rsidRPr="002D6AEB">
        <w:t>демонстр</w:t>
      </w:r>
      <w:r>
        <w:t>ации</w:t>
      </w:r>
      <w:r w:rsidRPr="002D6AEB">
        <w:t xml:space="preserve"> базовы</w:t>
      </w:r>
      <w:r>
        <w:t>х</w:t>
      </w:r>
      <w:r w:rsidRPr="002D6AEB">
        <w:t xml:space="preserve"> принцип</w:t>
      </w:r>
      <w:r>
        <w:t>ов</w:t>
      </w:r>
      <w:r w:rsidRPr="002D6AEB">
        <w:t xml:space="preserve"> технологии</w:t>
      </w:r>
      <w:r>
        <w:t xml:space="preserve"> (</w:t>
      </w:r>
      <w:r w:rsidRPr="002D6AEB">
        <w:t>TRL</w:t>
      </w:r>
      <w:r>
        <w:rPr>
          <w:lang w:val="en-US"/>
        </w:rPr>
        <w:t> </w:t>
      </w:r>
      <w:r w:rsidRPr="002D6AEB">
        <w:t>1</w:t>
      </w:r>
      <w:r>
        <w:t>), п</w:t>
      </w:r>
      <w:r w:rsidRPr="002D6AEB">
        <w:t>роведен</w:t>
      </w:r>
      <w:r>
        <w:t>ию</w:t>
      </w:r>
      <w:r w:rsidRPr="002D6AEB">
        <w:t xml:space="preserve"> проверк</w:t>
      </w:r>
      <w:r>
        <w:t>и</w:t>
      </w:r>
      <w:r w:rsidRPr="002D6AEB">
        <w:t xml:space="preserve"> компонентов/макетов </w:t>
      </w:r>
      <w:r>
        <w:t xml:space="preserve">технологии </w:t>
      </w:r>
      <w:r w:rsidRPr="002D6AEB">
        <w:t>в лабораторных условиях</w:t>
      </w:r>
      <w:r>
        <w:t xml:space="preserve"> (</w:t>
      </w:r>
      <w:r w:rsidRPr="002D6AEB">
        <w:t>TRL</w:t>
      </w:r>
      <w:r>
        <w:rPr>
          <w:lang w:val="en-US"/>
        </w:rPr>
        <w:t> </w:t>
      </w:r>
      <w:r>
        <w:t xml:space="preserve">4), </w:t>
      </w:r>
      <w:r w:rsidRPr="002D6AEB">
        <w:t>провер</w:t>
      </w:r>
      <w:r>
        <w:t xml:space="preserve">ке </w:t>
      </w:r>
      <w:r w:rsidRPr="002D6AEB">
        <w:t>технологи</w:t>
      </w:r>
      <w:r>
        <w:t>и</w:t>
      </w:r>
      <w:r w:rsidRPr="002D6AEB">
        <w:t xml:space="preserve"> </w:t>
      </w:r>
      <w:r>
        <w:t xml:space="preserve">в целевом состоянии </w:t>
      </w:r>
      <w:r w:rsidRPr="002D6AEB">
        <w:t>успешной работой</w:t>
      </w:r>
      <w:r>
        <w:t xml:space="preserve"> (</w:t>
      </w:r>
      <w:r w:rsidRPr="002D6AEB">
        <w:t>TRL</w:t>
      </w:r>
      <w:r>
        <w:rPr>
          <w:lang w:val="en-US"/>
        </w:rPr>
        <w:t> </w:t>
      </w:r>
      <w:r>
        <w:t>9) и т.д. Уровни сгруппированы по стадиям: Исследования (</w:t>
      </w:r>
      <w:r>
        <w:rPr>
          <w:lang w:val="en-US"/>
        </w:rPr>
        <w:t>TRL </w:t>
      </w:r>
      <w:r w:rsidRPr="006E53D6">
        <w:t>1</w:t>
      </w:r>
      <w:r>
        <w:t>–</w:t>
      </w:r>
      <w:r w:rsidRPr="006E53D6">
        <w:t xml:space="preserve">3), </w:t>
      </w:r>
      <w:r>
        <w:t>Разработки (</w:t>
      </w:r>
      <w:r>
        <w:rPr>
          <w:lang w:val="en-US"/>
        </w:rPr>
        <w:t>TRL </w:t>
      </w:r>
      <w:r>
        <w:t>4–6</w:t>
      </w:r>
      <w:r w:rsidRPr="006E53D6">
        <w:t>)</w:t>
      </w:r>
      <w:r>
        <w:t xml:space="preserve"> и Демонстрации (</w:t>
      </w:r>
      <w:r>
        <w:rPr>
          <w:lang w:val="en-US"/>
        </w:rPr>
        <w:t>TRL</w:t>
      </w:r>
      <w:r>
        <w:t> 7–9</w:t>
      </w:r>
      <w:r w:rsidRPr="006E53D6">
        <w:t>)</w:t>
      </w:r>
      <w:r>
        <w:t>.</w:t>
      </w:r>
    </w:p>
    <w:p w:rsidR="00184069" w:rsidRDefault="00184069" w:rsidP="00B75CF4">
      <w:pPr>
        <w:pStyle w:val="Zv-bodyreport"/>
        <w:spacing w:line="230" w:lineRule="auto"/>
      </w:pPr>
      <w:r>
        <w:t xml:space="preserve">Авторами показано, что в настоящее время в России ведутся работы по развитию и освоению технологий тритиевого топливного цикла. Тритиевые технологии активно используют в различных сферах деятельности, для адаптации и отработки специфических параметров и режимов ТЦ необходимы дополнительные исследования и развитие технологий. Большинство технологий достаточно развиты для применения в ТЦ ДЕМО-ТИН. Некоторые технологии, например, хроматографическое разделение изотопов водорода и криоадсорбционная очистка тритийсодержащих смесей находятся на стадии Исследования и для применения в ТЦ ДЕМО-ТИН должны быть развиты и отработаны. Для повышения уровня готовности технологий в России целесообразно создавать специализированные стендовые базы или исследовательские установки. </w:t>
      </w:r>
    </w:p>
    <w:p w:rsidR="00184069" w:rsidRPr="006E53D6" w:rsidRDefault="00184069" w:rsidP="00B75CF4">
      <w:pPr>
        <w:pStyle w:val="Zv-bodyreport"/>
        <w:spacing w:line="230" w:lineRule="auto"/>
      </w:pPr>
      <w:r>
        <w:t>Сопоставление развития технологий с мировым уровнем показывает отставание некоторых ключевых технологий, например, очистки водородсодержащих смесей в реакторах на основе палладиевых мембран и извлечение трития из бланкета. Ц</w:t>
      </w:r>
      <w:r w:rsidRPr="00F466AA">
        <w:t>елесообразно проводить работу по усилению международного сотрудничества в сфере применения тритиевых технологий в термоядерных исследованиях.</w:t>
      </w:r>
      <w:r>
        <w:t xml:space="preserve"> </w:t>
      </w:r>
    </w:p>
    <w:p w:rsidR="00184069" w:rsidRPr="00711461" w:rsidRDefault="00184069" w:rsidP="00B75CF4">
      <w:pPr>
        <w:pStyle w:val="Zv-bodyreport"/>
        <w:spacing w:line="230" w:lineRule="auto"/>
      </w:pPr>
      <w:r w:rsidRPr="004A5C5C">
        <w:t>Работа</w:t>
      </w:r>
      <w:r w:rsidRPr="00711461">
        <w:t xml:space="preserve"> </w:t>
      </w:r>
      <w:r w:rsidRPr="004A5C5C">
        <w:t>поддержана</w:t>
      </w:r>
      <w:r w:rsidRPr="00711461">
        <w:t xml:space="preserve"> </w:t>
      </w:r>
      <w:r w:rsidRPr="004A5C5C">
        <w:t>Национальным</w:t>
      </w:r>
      <w:r w:rsidRPr="00711461">
        <w:t xml:space="preserve"> </w:t>
      </w:r>
      <w:r w:rsidRPr="004A5C5C">
        <w:t>исследовательским</w:t>
      </w:r>
      <w:r w:rsidRPr="00711461">
        <w:t xml:space="preserve"> </w:t>
      </w:r>
      <w:r w:rsidRPr="004A5C5C">
        <w:t>центром</w:t>
      </w:r>
      <w:r w:rsidRPr="00711461">
        <w:t xml:space="preserve"> «</w:t>
      </w:r>
      <w:r w:rsidRPr="004A5C5C">
        <w:t>Курчатовский</w:t>
      </w:r>
      <w:r w:rsidRPr="00711461">
        <w:t xml:space="preserve"> </w:t>
      </w:r>
      <w:r w:rsidRPr="004A5C5C">
        <w:t>институт</w:t>
      </w:r>
      <w:r w:rsidRPr="00711461">
        <w:t>».</w:t>
      </w:r>
    </w:p>
    <w:p w:rsidR="00184069" w:rsidRPr="004544D6" w:rsidRDefault="00184069" w:rsidP="00B75CF4">
      <w:pPr>
        <w:pStyle w:val="Zv-TitleReferences-ru"/>
        <w:spacing w:line="230" w:lineRule="auto"/>
        <w:rPr>
          <w:lang w:val="en-US"/>
        </w:rPr>
      </w:pPr>
      <w:r>
        <w:t>Литература</w:t>
      </w:r>
    </w:p>
    <w:p w:rsidR="00184069" w:rsidRPr="002D6AEB" w:rsidRDefault="000F5396" w:rsidP="00B75CF4">
      <w:pPr>
        <w:widowControl w:val="0"/>
        <w:autoSpaceDE w:val="0"/>
        <w:autoSpaceDN w:val="0"/>
        <w:adjustRightInd w:val="0"/>
        <w:spacing w:line="230" w:lineRule="auto"/>
        <w:ind w:left="640" w:hanging="640"/>
        <w:rPr>
          <w:noProof/>
          <w:lang w:val="en-GB"/>
        </w:rPr>
      </w:pPr>
      <w:r>
        <w:fldChar w:fldCharType="begin" w:fldLock="1"/>
      </w:r>
      <w:r w:rsidR="00184069" w:rsidRPr="004544D6">
        <w:rPr>
          <w:lang w:val="en-US"/>
        </w:rPr>
        <w:instrText xml:space="preserve">ADDIN Mendeley Bibliography CSL_BIBLIOGRAPHY </w:instrText>
      </w:r>
      <w:r>
        <w:fldChar w:fldCharType="separate"/>
      </w:r>
      <w:r w:rsidR="00184069" w:rsidRPr="002D6AEB">
        <w:rPr>
          <w:noProof/>
          <w:lang w:val="en-GB"/>
        </w:rPr>
        <w:t>[1]</w:t>
      </w:r>
      <w:r w:rsidR="00184069" w:rsidRPr="002D6AEB">
        <w:rPr>
          <w:noProof/>
          <w:lang w:val="en-GB"/>
        </w:rPr>
        <w:tab/>
        <w:t>S.S. Ananyev</w:t>
      </w:r>
      <w:r w:rsidR="00184069" w:rsidRPr="004544D6">
        <w:rPr>
          <w:noProof/>
          <w:lang w:val="en-US"/>
        </w:rPr>
        <w:t xml:space="preserve"> </w:t>
      </w:r>
      <w:r w:rsidR="00184069">
        <w:rPr>
          <w:noProof/>
          <w:lang w:val="en-US"/>
        </w:rPr>
        <w:t>et al.</w:t>
      </w:r>
      <w:r w:rsidR="00184069" w:rsidRPr="004544D6">
        <w:rPr>
          <w:noProof/>
          <w:lang w:val="en-US"/>
        </w:rPr>
        <w:t>,</w:t>
      </w:r>
      <w:r w:rsidR="00184069">
        <w:rPr>
          <w:noProof/>
          <w:lang w:val="en-US"/>
        </w:rPr>
        <w:t xml:space="preserve"> </w:t>
      </w:r>
      <w:r w:rsidR="00184069" w:rsidRPr="002D6AEB">
        <w:rPr>
          <w:i/>
          <w:iCs/>
          <w:noProof/>
          <w:lang w:val="en-GB"/>
        </w:rPr>
        <w:t>Nucl. Fusion</w:t>
      </w:r>
      <w:r w:rsidR="00184069" w:rsidRPr="002D6AEB">
        <w:rPr>
          <w:noProof/>
          <w:lang w:val="en-GB"/>
        </w:rPr>
        <w:t>, https://doi.org/10.1088/1361-6463/aad7de, Sep. 2021.</w:t>
      </w:r>
    </w:p>
    <w:p w:rsidR="00184069" w:rsidRPr="004544D6" w:rsidRDefault="00184069" w:rsidP="00B75CF4">
      <w:pPr>
        <w:widowControl w:val="0"/>
        <w:autoSpaceDE w:val="0"/>
        <w:autoSpaceDN w:val="0"/>
        <w:adjustRightInd w:val="0"/>
        <w:spacing w:line="230" w:lineRule="auto"/>
        <w:ind w:left="640" w:hanging="640"/>
        <w:rPr>
          <w:noProof/>
        </w:rPr>
      </w:pPr>
      <w:r w:rsidRPr="004544D6">
        <w:rPr>
          <w:noProof/>
        </w:rPr>
        <w:t>[2]</w:t>
      </w:r>
      <w:r w:rsidRPr="004544D6">
        <w:rPr>
          <w:noProof/>
        </w:rPr>
        <w:tab/>
        <w:t xml:space="preserve">Б.В. Иванов, С.С. Ананьев, “Анализ уровня готовности технологий тритиевого цикла в россии для гибридного реактора ДЕМО-ТИН”, </w:t>
      </w:r>
      <w:r w:rsidRPr="002D6AEB">
        <w:rPr>
          <w:i/>
          <w:iCs/>
          <w:noProof/>
          <w:lang w:val="en-GB"/>
        </w:rPr>
        <w:t>XLVIII</w:t>
      </w:r>
      <w:r w:rsidRPr="004544D6">
        <w:rPr>
          <w:i/>
          <w:iCs/>
          <w:noProof/>
        </w:rPr>
        <w:t xml:space="preserve"> </w:t>
      </w:r>
      <w:r w:rsidRPr="002D6AEB">
        <w:rPr>
          <w:i/>
          <w:iCs/>
          <w:noProof/>
          <w:lang w:val="en-GB"/>
        </w:rPr>
        <w:t>M</w:t>
      </w:r>
      <w:r w:rsidRPr="004544D6">
        <w:rPr>
          <w:i/>
          <w:iCs/>
          <w:noProof/>
        </w:rPr>
        <w:t>еждународная (</w:t>
      </w:r>
      <w:r>
        <w:rPr>
          <w:i/>
          <w:iCs/>
          <w:noProof/>
        </w:rPr>
        <w:t>З</w:t>
      </w:r>
      <w:r w:rsidRPr="004544D6">
        <w:rPr>
          <w:i/>
          <w:iCs/>
          <w:noProof/>
        </w:rPr>
        <w:t>венигородская) конференция по физике плазмы и управляемому термоядерному синтезу</w:t>
      </w:r>
      <w:r w:rsidRPr="004544D6">
        <w:rPr>
          <w:noProof/>
        </w:rPr>
        <w:t xml:space="preserve">, 2021, </w:t>
      </w:r>
      <w:r w:rsidRPr="002D6AEB">
        <w:rPr>
          <w:noProof/>
          <w:lang w:val="en-GB"/>
        </w:rPr>
        <w:t>http</w:t>
      </w:r>
      <w:r w:rsidRPr="004544D6">
        <w:rPr>
          <w:noProof/>
        </w:rPr>
        <w:t>://</w:t>
      </w:r>
      <w:r w:rsidRPr="002D6AEB">
        <w:rPr>
          <w:noProof/>
          <w:lang w:val="en-GB"/>
        </w:rPr>
        <w:t>www</w:t>
      </w:r>
      <w:r w:rsidRPr="004544D6">
        <w:rPr>
          <w:noProof/>
        </w:rPr>
        <w:t>.</w:t>
      </w:r>
      <w:r w:rsidRPr="002D6AEB">
        <w:rPr>
          <w:noProof/>
          <w:lang w:val="en-GB"/>
        </w:rPr>
        <w:t>fpl</w:t>
      </w:r>
      <w:r w:rsidRPr="004544D6">
        <w:rPr>
          <w:noProof/>
        </w:rPr>
        <w:t>.</w:t>
      </w:r>
      <w:r w:rsidRPr="002D6AEB">
        <w:rPr>
          <w:noProof/>
          <w:lang w:val="en-GB"/>
        </w:rPr>
        <w:t>gpi</w:t>
      </w:r>
      <w:r w:rsidRPr="004544D6">
        <w:rPr>
          <w:noProof/>
        </w:rPr>
        <w:t>.</w:t>
      </w:r>
      <w:r w:rsidRPr="002D6AEB">
        <w:rPr>
          <w:noProof/>
          <w:lang w:val="en-GB"/>
        </w:rPr>
        <w:t>ru</w:t>
      </w:r>
      <w:r w:rsidRPr="004544D6">
        <w:rPr>
          <w:noProof/>
        </w:rPr>
        <w:t>/</w:t>
      </w:r>
      <w:r w:rsidRPr="002D6AEB">
        <w:rPr>
          <w:noProof/>
          <w:lang w:val="en-GB"/>
        </w:rPr>
        <w:t>Zvenigorod</w:t>
      </w:r>
      <w:r w:rsidRPr="004544D6">
        <w:rPr>
          <w:noProof/>
        </w:rPr>
        <w:t>/</w:t>
      </w:r>
      <w:r w:rsidRPr="002D6AEB">
        <w:rPr>
          <w:noProof/>
          <w:lang w:val="en-GB"/>
        </w:rPr>
        <w:t>XLVIII</w:t>
      </w:r>
      <w:r w:rsidRPr="004544D6">
        <w:rPr>
          <w:noProof/>
        </w:rPr>
        <w:t>/</w:t>
      </w:r>
      <w:r w:rsidRPr="002D6AEB">
        <w:rPr>
          <w:noProof/>
          <w:lang w:val="en-GB"/>
        </w:rPr>
        <w:t>Mu</w:t>
      </w:r>
      <w:r w:rsidRPr="004544D6">
        <w:rPr>
          <w:noProof/>
        </w:rPr>
        <w:t>/</w:t>
      </w:r>
      <w:r w:rsidRPr="002D6AEB">
        <w:rPr>
          <w:noProof/>
          <w:lang w:val="en-GB"/>
        </w:rPr>
        <w:t>ru</w:t>
      </w:r>
      <w:r w:rsidRPr="004544D6">
        <w:rPr>
          <w:noProof/>
        </w:rPr>
        <w:t>/</w:t>
      </w:r>
      <w:r w:rsidRPr="002D6AEB">
        <w:rPr>
          <w:noProof/>
          <w:lang w:val="en-GB"/>
        </w:rPr>
        <w:t>AE</w:t>
      </w:r>
      <w:r w:rsidRPr="004544D6">
        <w:rPr>
          <w:noProof/>
        </w:rPr>
        <w:t>-</w:t>
      </w:r>
      <w:r w:rsidRPr="002D6AEB">
        <w:rPr>
          <w:noProof/>
          <w:lang w:val="en-GB"/>
        </w:rPr>
        <w:t>I</w:t>
      </w:r>
      <w:r w:rsidRPr="004544D6">
        <w:rPr>
          <w:noProof/>
        </w:rPr>
        <w:t>.</w:t>
      </w:r>
    </w:p>
    <w:p w:rsidR="00184069" w:rsidRPr="002D6AEB" w:rsidRDefault="00184069" w:rsidP="00B75CF4">
      <w:pPr>
        <w:widowControl w:val="0"/>
        <w:autoSpaceDE w:val="0"/>
        <w:autoSpaceDN w:val="0"/>
        <w:adjustRightInd w:val="0"/>
        <w:spacing w:line="230" w:lineRule="auto"/>
        <w:ind w:left="640" w:hanging="640"/>
        <w:rPr>
          <w:noProof/>
          <w:lang w:val="en-GB"/>
        </w:rPr>
      </w:pPr>
      <w:r w:rsidRPr="002D6AEB">
        <w:rPr>
          <w:noProof/>
          <w:lang w:val="en-GB"/>
        </w:rPr>
        <w:t>[3]</w:t>
      </w:r>
      <w:r w:rsidRPr="002D6AEB">
        <w:rPr>
          <w:noProof/>
          <w:lang w:val="en-GB"/>
        </w:rPr>
        <w:tab/>
        <w:t>B.V. Kuteev</w:t>
      </w:r>
      <w:r w:rsidRPr="004544D6">
        <w:rPr>
          <w:noProof/>
          <w:lang w:val="en-US"/>
        </w:rPr>
        <w:t xml:space="preserve"> </w:t>
      </w:r>
      <w:r>
        <w:rPr>
          <w:noProof/>
          <w:lang w:val="en-US"/>
        </w:rPr>
        <w:t>et al.</w:t>
      </w:r>
      <w:r w:rsidRPr="002D6AEB">
        <w:rPr>
          <w:noProof/>
          <w:lang w:val="en-GB"/>
        </w:rPr>
        <w:t xml:space="preserve">, “Development of DEMO-FNS tokamak for fusion and hybrid technologies” </w:t>
      </w:r>
      <w:r w:rsidRPr="002D6AEB">
        <w:rPr>
          <w:i/>
          <w:iCs/>
          <w:noProof/>
          <w:lang w:val="en-GB"/>
        </w:rPr>
        <w:t>Nucl. Fusion</w:t>
      </w:r>
      <w:r w:rsidRPr="002D6AEB">
        <w:rPr>
          <w:noProof/>
          <w:lang w:val="en-GB"/>
        </w:rPr>
        <w:t>, vol. 55, no. 7, p. 073035, Jul. 2015.</w:t>
      </w:r>
    </w:p>
    <w:p w:rsidR="00654A7B" w:rsidRDefault="00184069" w:rsidP="00B75CF4">
      <w:pPr>
        <w:widowControl w:val="0"/>
        <w:autoSpaceDE w:val="0"/>
        <w:autoSpaceDN w:val="0"/>
        <w:adjustRightInd w:val="0"/>
        <w:spacing w:line="230" w:lineRule="auto"/>
        <w:ind w:left="640" w:hanging="640"/>
        <w:rPr>
          <w:lang w:val="en-US"/>
        </w:rPr>
      </w:pPr>
      <w:r w:rsidRPr="002D6AEB">
        <w:rPr>
          <w:noProof/>
          <w:lang w:val="en-GB"/>
        </w:rPr>
        <w:t>[4]</w:t>
      </w:r>
      <w:r w:rsidRPr="002D6AEB">
        <w:rPr>
          <w:noProof/>
          <w:lang w:val="en-GB"/>
        </w:rPr>
        <w:tab/>
        <w:t xml:space="preserve">E.A. Azizov </w:t>
      </w:r>
      <w:r w:rsidRPr="002D6AEB">
        <w:rPr>
          <w:i/>
          <w:iCs/>
          <w:noProof/>
          <w:lang w:val="en-GB"/>
        </w:rPr>
        <w:t>et al.</w:t>
      </w:r>
      <w:r w:rsidRPr="002D6AEB">
        <w:rPr>
          <w:noProof/>
          <w:lang w:val="en-GB"/>
        </w:rPr>
        <w:t xml:space="preserve">, “Tokamak DEMO-FNS: Concept of magnet system and vacuum chamber,” </w:t>
      </w:r>
      <w:r w:rsidRPr="002D6AEB">
        <w:rPr>
          <w:i/>
          <w:iCs/>
          <w:noProof/>
          <w:lang w:val="en-GB"/>
        </w:rPr>
        <w:t>Phys. At. Nucl.</w:t>
      </w:r>
      <w:r w:rsidRPr="002D6AEB">
        <w:rPr>
          <w:noProof/>
          <w:lang w:val="en-GB"/>
        </w:rPr>
        <w:t>, vol. 79, no. 7, pp. 1125–1136, 2016.</w:t>
      </w:r>
      <w:r w:rsidR="000F5396">
        <w:fldChar w:fldCharType="end"/>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9B" w:rsidRDefault="00AA739B">
      <w:r>
        <w:separator/>
      </w:r>
    </w:p>
  </w:endnote>
  <w:endnote w:type="continuationSeparator" w:id="0">
    <w:p w:rsidR="00AA739B" w:rsidRDefault="00AA7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F5396"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651626"/>
      <w:docPartObj>
        <w:docPartGallery w:val="Page Numbers (Bottom of Page)"/>
        <w:docPartUnique/>
      </w:docPartObj>
    </w:sdtPr>
    <w:sdtContent>
      <w:p w:rsidR="00CA2949" w:rsidRDefault="000F5396">
        <w:pPr>
          <w:pStyle w:val="a4"/>
          <w:jc w:val="center"/>
        </w:pPr>
        <w:fldSimple w:instr=" PAGE   \* MERGEFORMAT ">
          <w:r w:rsidR="00B75CF4">
            <w:rPr>
              <w:noProof/>
            </w:rPr>
            <w:t>1</w:t>
          </w:r>
        </w:fldSimple>
        <w:r w:rsidR="00CA2949">
          <w:rPr>
            <w:lang w:val="en-US"/>
          </w:rPr>
          <w:t>02</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9B" w:rsidRDefault="00AA739B">
      <w:r>
        <w:separator/>
      </w:r>
    </w:p>
  </w:footnote>
  <w:footnote w:type="continuationSeparator" w:id="0">
    <w:p w:rsidR="00AA739B" w:rsidRDefault="00AA739B">
      <w:r>
        <w:continuationSeparator/>
      </w:r>
    </w:p>
  </w:footnote>
  <w:footnote w:id="1">
    <w:p w:rsidR="00B75CF4" w:rsidRPr="00B75CF4" w:rsidRDefault="00B75CF4">
      <w:pPr>
        <w:pStyle w:val="a9"/>
        <w:rPr>
          <w:lang w:val="en-US"/>
        </w:rPr>
      </w:pPr>
      <w:r>
        <w:rPr>
          <w:rStyle w:val="ab"/>
        </w:rPr>
        <w:t>*)</w:t>
      </w:r>
      <w:r>
        <w:t xml:space="preserve"> </w:t>
      </w:r>
      <w:r w:rsidRPr="00B75CF4">
        <w:t xml:space="preserve"> </w:t>
      </w:r>
      <w:hyperlink r:id="rId1" w:history="1">
        <w:r w:rsidRPr="00B75CF4">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184069">
      <w:rPr>
        <w:sz w:val="20"/>
      </w:rPr>
      <w:t>14</w:t>
    </w:r>
    <w:r w:rsidR="00C62CFE">
      <w:rPr>
        <w:sz w:val="20"/>
      </w:rPr>
      <w:t xml:space="preserve"> – </w:t>
    </w:r>
    <w:r w:rsidR="00C62CFE" w:rsidRPr="00184069">
      <w:rPr>
        <w:sz w:val="20"/>
      </w:rPr>
      <w:t>18</w:t>
    </w:r>
    <w:r w:rsidR="00C62CFE">
      <w:rPr>
        <w:sz w:val="20"/>
      </w:rPr>
      <w:t xml:space="preserve"> марта 20</w:t>
    </w:r>
    <w:r w:rsidR="00C62CFE" w:rsidRPr="00184069">
      <w:rPr>
        <w:sz w:val="20"/>
      </w:rPr>
      <w:t>22</w:t>
    </w:r>
    <w:r w:rsidR="00C62CFE">
      <w:rPr>
        <w:sz w:val="20"/>
      </w:rPr>
      <w:t xml:space="preserve"> г.</w:t>
    </w:r>
  </w:p>
  <w:p w:rsidR="00654A7B" w:rsidRDefault="000F539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A2949"/>
    <w:rsid w:val="00037DCC"/>
    <w:rsid w:val="00043701"/>
    <w:rsid w:val="000C7078"/>
    <w:rsid w:val="000D76E9"/>
    <w:rsid w:val="000E495B"/>
    <w:rsid w:val="000F5396"/>
    <w:rsid w:val="00140645"/>
    <w:rsid w:val="00171964"/>
    <w:rsid w:val="00184069"/>
    <w:rsid w:val="001C0CCB"/>
    <w:rsid w:val="00200AB2"/>
    <w:rsid w:val="00220629"/>
    <w:rsid w:val="00247225"/>
    <w:rsid w:val="002A6CD1"/>
    <w:rsid w:val="002D3EBD"/>
    <w:rsid w:val="00352DB2"/>
    <w:rsid w:val="00370072"/>
    <w:rsid w:val="003800F3"/>
    <w:rsid w:val="003B5B93"/>
    <w:rsid w:val="003C1B47"/>
    <w:rsid w:val="00401388"/>
    <w:rsid w:val="004415DD"/>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E2894"/>
    <w:rsid w:val="009352E6"/>
    <w:rsid w:val="0094721E"/>
    <w:rsid w:val="00A66876"/>
    <w:rsid w:val="00A71613"/>
    <w:rsid w:val="00AA739B"/>
    <w:rsid w:val="00AB3459"/>
    <w:rsid w:val="00AD7670"/>
    <w:rsid w:val="00B622ED"/>
    <w:rsid w:val="00B75CF4"/>
    <w:rsid w:val="00B9584E"/>
    <w:rsid w:val="00BD05EF"/>
    <w:rsid w:val="00C103CD"/>
    <w:rsid w:val="00C232A0"/>
    <w:rsid w:val="00C62CFE"/>
    <w:rsid w:val="00CA2949"/>
    <w:rsid w:val="00CA791E"/>
    <w:rsid w:val="00CE0E75"/>
    <w:rsid w:val="00D47F19"/>
    <w:rsid w:val="00DA4715"/>
    <w:rsid w:val="00DE16AD"/>
    <w:rsid w:val="00DF1C1D"/>
    <w:rsid w:val="00DF6D4D"/>
    <w:rsid w:val="00E1331D"/>
    <w:rsid w:val="00E7021A"/>
    <w:rsid w:val="00E87733"/>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06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184069"/>
    <w:rPr>
      <w:sz w:val="24"/>
      <w:szCs w:val="24"/>
    </w:rPr>
  </w:style>
  <w:style w:type="character" w:styleId="a8">
    <w:name w:val="Hyperlink"/>
    <w:basedOn w:val="a0"/>
    <w:rsid w:val="00184069"/>
    <w:rPr>
      <w:color w:val="0000FF" w:themeColor="hyperlink"/>
      <w:u w:val="single"/>
    </w:rPr>
  </w:style>
  <w:style w:type="character" w:customStyle="1" w:styleId="a5">
    <w:name w:val="Нижний колонтитул Знак"/>
    <w:basedOn w:val="a0"/>
    <w:link w:val="a4"/>
    <w:uiPriority w:val="99"/>
    <w:rsid w:val="00CA2949"/>
    <w:rPr>
      <w:sz w:val="24"/>
      <w:szCs w:val="24"/>
    </w:rPr>
  </w:style>
  <w:style w:type="paragraph" w:styleId="a9">
    <w:name w:val="footnote text"/>
    <w:basedOn w:val="a"/>
    <w:link w:val="aa"/>
    <w:rsid w:val="00B75CF4"/>
    <w:rPr>
      <w:sz w:val="20"/>
      <w:szCs w:val="20"/>
    </w:rPr>
  </w:style>
  <w:style w:type="character" w:customStyle="1" w:styleId="aa">
    <w:name w:val="Текст сноски Знак"/>
    <w:basedOn w:val="a0"/>
    <w:link w:val="a9"/>
    <w:rsid w:val="00B75CF4"/>
  </w:style>
  <w:style w:type="character" w:styleId="ab">
    <w:name w:val="footnote reference"/>
    <w:basedOn w:val="a0"/>
    <w:rsid w:val="00B75C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pjicoh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en/BS-Anani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81C0D-125D-4BB3-A772-08C33F55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8</TotalTime>
  <Pages>1</Pages>
  <Words>434</Words>
  <Characters>15425</Characters>
  <Application>Microsoft Office Word</Application>
  <DocSecurity>0</DocSecurity>
  <Lines>128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УРОВНЯ ГОТОВНОСТИ ТЕХНОЛОГИЙ ВОСПРОИЗВОДСТВА ТРИТИЯ И ОБЕСПЕЧЕНИЯ ТРИТИЕВОЙ БЕЗОПАСНОСТИ В РОССИИ НА ПРИМЕРЕ ПРОЕКТА ДЕМО-ТИН</dc:title>
  <dc:creator/>
  <cp:lastModifiedBy>Сатунин</cp:lastModifiedBy>
  <cp:revision>3</cp:revision>
  <cp:lastPrinted>1601-01-01T00:00:00Z</cp:lastPrinted>
  <dcterms:created xsi:type="dcterms:W3CDTF">2022-02-25T18:49:00Z</dcterms:created>
  <dcterms:modified xsi:type="dcterms:W3CDTF">2022-03-28T12:45:00Z</dcterms:modified>
</cp:coreProperties>
</file>