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949" w:rsidRPr="0078299E" w:rsidRDefault="00D92949" w:rsidP="00D92949">
      <w:pPr>
        <w:pStyle w:val="Zv-Titlereport"/>
        <w:ind w:left="284" w:right="140"/>
      </w:pPr>
      <w:r w:rsidRPr="002E13D2">
        <w:t>ОБОСНОВАНИЕ ВОЗМОЖНОСТИ ПРИМЕНЕНИЯ ДИАГНОСТИКИ КОЛЛЕКТИВНОГО ТОМСОНОВСКОГО РАССЕЯНИЯ НА ТОКАМАКЕ Т-15МД С ИСПОЛЬЗОВАНИЕМ ГИРОТРОНОВ</w:t>
      </w:r>
      <w:r w:rsidR="0078299E" w:rsidRPr="0078299E">
        <w:t xml:space="preserve"> </w:t>
      </w:r>
      <w:r w:rsidR="0078299E">
        <w:rPr>
          <w:rStyle w:val="ad"/>
        </w:rPr>
        <w:footnoteReference w:customMarkFollows="1" w:id="1"/>
        <w:t>*)</w:t>
      </w:r>
    </w:p>
    <w:p w:rsidR="00D92949" w:rsidRPr="00AD46BC" w:rsidRDefault="00D92949" w:rsidP="00D92949">
      <w:pPr>
        <w:pStyle w:val="Zv-Author"/>
      </w:pPr>
      <w:r>
        <w:t>Пименов И.С.</w:t>
      </w:r>
    </w:p>
    <w:p w:rsidR="00D92949" w:rsidRDefault="00D92949" w:rsidP="00D92949">
      <w:pPr>
        <w:pStyle w:val="Zv-Organization"/>
        <w:rPr>
          <w:sz w:val="26"/>
        </w:rPr>
      </w:pPr>
      <w:r w:rsidRPr="0041056F">
        <w:rPr>
          <w:color w:val="000000"/>
        </w:rPr>
        <w:t>НИЦ «Курчатовский Институт</w:t>
      </w:r>
      <w:r w:rsidRPr="0041056F">
        <w:t xml:space="preserve"> », РФ,  123182 </w:t>
      </w:r>
      <w:r>
        <w:t>Москва,</w:t>
      </w:r>
      <w:r w:rsidRPr="0041056F">
        <w:t xml:space="preserve"> </w:t>
      </w:r>
      <w:r w:rsidRPr="0041056F">
        <w:rPr>
          <w:color w:val="000000"/>
        </w:rPr>
        <w:t>пл.</w:t>
      </w:r>
      <w:r>
        <w:rPr>
          <w:color w:val="000000"/>
        </w:rPr>
        <w:t xml:space="preserve"> Академика</w:t>
      </w:r>
      <w:r w:rsidRPr="0041056F">
        <w:rPr>
          <w:color w:val="000000"/>
        </w:rPr>
        <w:t xml:space="preserve"> Курчатова 1,</w:t>
      </w:r>
      <w:r w:rsidRPr="0041056F">
        <w:rPr>
          <w:color w:val="0070C0"/>
        </w:rPr>
        <w:t xml:space="preserve"> </w:t>
      </w:r>
      <w:hyperlink r:id="rId8" w:history="1">
        <w:r w:rsidRPr="00625803">
          <w:rPr>
            <w:rStyle w:val="aa"/>
            <w:i w:val="0"/>
            <w:sz w:val="26"/>
            <w:lang w:val="pt-BR"/>
          </w:rPr>
          <w:t>pimenowigor@mail.ru</w:t>
        </w:r>
      </w:hyperlink>
    </w:p>
    <w:p w:rsidR="00D92949" w:rsidRDefault="00D92949" w:rsidP="00D92949">
      <w:pPr>
        <w:pStyle w:val="Zv-bodyreport"/>
      </w:pPr>
      <w:r w:rsidRPr="004E7215">
        <w:t xml:space="preserve">На токамаке Т-15МД планируется использование восьми гиротронов для электронно-циклотронного нагрева (ЭЦН) плазмы. Помимо своей основной задачи, гиротроны можно использовать в диагностических целях. Диагностика коллективного Томсоновского рассеяния (CTS – Collective Thomson Scattering) в токамаках и стеллараторах использует излучение гиротрона для получения физических данных об ионной составляющей плазмы. </w:t>
      </w:r>
      <w:r>
        <w:br/>
      </w:r>
      <w:r w:rsidRPr="004E7215">
        <w:t>В отличие от стандартной диагностики Томсоновского рассеяния, где рассеяние происходит на отдельно взятых электронах, в случае CTS, рассеяние возникает на флуктуациях электронной плотности, вызванные движением ионов. Данная диагностика позволяет получить одномерную функцию распределения ионов, температуру ионов и изотопный состав. CTS применяется на токамаках JET [1], TEXTOR [2], Asdex Upgrade [3], а также на стеллараторах LHD [4] и W-7X [5]. Целью работы является обоснование реализации диагностики коллективного Томсоновского рассеяния на токамаке Т-15МД. В работе будут отображены следующие</w:t>
      </w:r>
      <w:r>
        <w:t xml:space="preserve"> моменты, касающиеся данной диагностики</w:t>
      </w:r>
      <w:r w:rsidRPr="00A5331D">
        <w:t>:</w:t>
      </w:r>
    </w:p>
    <w:p w:rsidR="00D92949" w:rsidRDefault="00D92949" w:rsidP="00D9294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Сравнительный анализ с другими диагностиками</w:t>
      </w:r>
    </w:p>
    <w:p w:rsidR="00D92949" w:rsidRDefault="00D92949" w:rsidP="00D9294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Диапазон параметров плазмы, определяющие область применимости диагностики </w:t>
      </w:r>
    </w:p>
    <w:p w:rsidR="00D92949" w:rsidRDefault="00D92949" w:rsidP="00D9294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Пространственно-временное разрешение</w:t>
      </w:r>
    </w:p>
    <w:p w:rsidR="00D92949" w:rsidRDefault="00D92949" w:rsidP="00D9294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Различные схемы ввода излучения</w:t>
      </w:r>
    </w:p>
    <w:p w:rsidR="00D92949" w:rsidRDefault="00D92949" w:rsidP="00D92949">
      <w:pPr>
        <w:pStyle w:val="a8"/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Выбор оптимальной частоты гиротрона</w:t>
      </w:r>
    </w:p>
    <w:p w:rsidR="00D92949" w:rsidRDefault="00D92949" w:rsidP="00D92949">
      <w:pPr>
        <w:pStyle w:val="Zv-TitleReferences-ru"/>
      </w:pPr>
      <w:r w:rsidRPr="002E13D2">
        <w:t>Литература</w:t>
      </w:r>
    </w:p>
    <w:p w:rsidR="00D92949" w:rsidRDefault="00D92949" w:rsidP="00D9294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Bindslev, J.A. Hoekzema, J. Egedal et al, Phys. Rev. Lett. 83, 3206 (1999)</w:t>
      </w:r>
    </w:p>
    <w:p w:rsidR="00D92949" w:rsidRPr="003A0909" w:rsidRDefault="00D92949" w:rsidP="00D9294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H. Bindslev, S.K. Nielsen, L. Porte et al, Phys. Rev. Lett. 97,  205005 (2006)</w:t>
      </w:r>
    </w:p>
    <w:p w:rsidR="00D92949" w:rsidRDefault="00D92949" w:rsidP="00D9294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M. Stejner, J. Rasmussen, S.K. Nielsen et al, Plasma Phys. Contrl. Fusion 59 (2017) 075009</w:t>
      </w:r>
    </w:p>
    <w:p w:rsidR="00D92949" w:rsidRDefault="00D92949" w:rsidP="00D9294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 xml:space="preserve">S. Kubo, M. Nishiura, K. Tanaka et al, Plasma and Fusion Research: Regular Articles, volume 5, S1038 (2010) </w:t>
      </w:r>
    </w:p>
    <w:p w:rsidR="00D92949" w:rsidRDefault="00D92949" w:rsidP="00D92949">
      <w:pPr>
        <w:pStyle w:val="Zv-References-ru"/>
        <w:numPr>
          <w:ilvl w:val="0"/>
          <w:numId w:val="1"/>
        </w:numPr>
        <w:rPr>
          <w:lang w:val="en-US"/>
        </w:rPr>
      </w:pPr>
      <w:r>
        <w:rPr>
          <w:lang w:val="en-US"/>
        </w:rPr>
        <w:t>D. Moseev, M. Stejner, T. Stange et al, Rev. Sci. Instrum. 90 (2019) 013503</w:t>
      </w:r>
    </w:p>
    <w:p w:rsidR="00654A7B" w:rsidRPr="009D3AC4" w:rsidRDefault="00654A7B" w:rsidP="009D3AC4">
      <w:pPr>
        <w:rPr>
          <w:lang w:val="en-US"/>
        </w:rPr>
      </w:pPr>
    </w:p>
    <w:sectPr w:rsidR="00654A7B" w:rsidRPr="009D3AC4" w:rsidSect="00F95123">
      <w:headerReference w:type="default" r:id="rId9"/>
      <w:footerReference w:type="even" r:id="rId10"/>
      <w:footerReference w:type="default" r:id="rId11"/>
      <w:pgSz w:w="11906" w:h="16838"/>
      <w:pgMar w:top="1418" w:right="1134" w:bottom="1418" w:left="1134" w:header="624" w:footer="624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2BAF" w:rsidRDefault="00812BAF">
      <w:r>
        <w:separator/>
      </w:r>
    </w:p>
  </w:endnote>
  <w:endnote w:type="continuationSeparator" w:id="0">
    <w:p w:rsidR="00812BAF" w:rsidRDefault="00812BA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74399" w:rsidRDefault="00C12F1F" w:rsidP="00654A7B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F74399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F74399" w:rsidRDefault="00F74399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135959"/>
      <w:docPartObj>
        <w:docPartGallery w:val="Page Numbers (Bottom of Page)"/>
        <w:docPartUnique/>
      </w:docPartObj>
    </w:sdtPr>
    <w:sdtContent>
      <w:p w:rsidR="00D92949" w:rsidRDefault="00D92949">
        <w:pPr>
          <w:pStyle w:val="a4"/>
          <w:jc w:val="center"/>
        </w:pPr>
        <w:r>
          <w:rPr>
            <w:lang w:val="en-US"/>
          </w:rPr>
          <w:t>96</w:t>
        </w:r>
      </w:p>
    </w:sdtContent>
  </w:sdt>
  <w:p w:rsidR="00F74399" w:rsidRDefault="00F74399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2BAF" w:rsidRDefault="00812BAF">
      <w:r>
        <w:separator/>
      </w:r>
    </w:p>
  </w:footnote>
  <w:footnote w:type="continuationSeparator" w:id="0">
    <w:p w:rsidR="00812BAF" w:rsidRDefault="00812BAF">
      <w:r>
        <w:continuationSeparator/>
      </w:r>
    </w:p>
  </w:footnote>
  <w:footnote w:id="1">
    <w:p w:rsidR="0078299E" w:rsidRPr="0078299E" w:rsidRDefault="0078299E">
      <w:pPr>
        <w:pStyle w:val="ab"/>
        <w:rPr>
          <w:lang w:val="en-US"/>
        </w:rPr>
      </w:pPr>
      <w:r>
        <w:rPr>
          <w:rStyle w:val="ad"/>
        </w:rPr>
        <w:t>*)</w:t>
      </w:r>
      <w:r>
        <w:t xml:space="preserve"> </w:t>
      </w:r>
      <w:r w:rsidRPr="0078299E">
        <w:t xml:space="preserve"> </w:t>
      </w:r>
      <w:hyperlink r:id="rId1" w:history="1">
        <w:r w:rsidRPr="0078299E">
          <w:rPr>
            <w:rStyle w:val="aa"/>
          </w:rPr>
          <w:t>DOI – тезисы на английском</w:t>
        </w:r>
      </w:hyperlink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54A7B" w:rsidRPr="009B5181" w:rsidRDefault="00654A7B">
    <w:pPr>
      <w:pStyle w:val="a3"/>
      <w:jc w:val="center"/>
      <w:rPr>
        <w:sz w:val="20"/>
      </w:rPr>
    </w:pPr>
    <w:r w:rsidRPr="009B5181">
      <w:rPr>
        <w:sz w:val="20"/>
      </w:rPr>
      <w:t xml:space="preserve"> </w:t>
    </w:r>
    <w:r w:rsidR="009B5181">
      <w:rPr>
        <w:sz w:val="20"/>
        <w:lang w:val="en-US"/>
      </w:rPr>
      <w:t>XLIX</w:t>
    </w:r>
    <w:r w:rsidR="009B5181">
      <w:rPr>
        <w:sz w:val="20"/>
      </w:rPr>
      <w:t xml:space="preserve"> Международная (Звенигородская) конференция по физике плазмы и УТС,  </w:t>
    </w:r>
    <w:r w:rsidR="009B5181" w:rsidRPr="009B5181">
      <w:rPr>
        <w:sz w:val="20"/>
      </w:rPr>
      <w:t>14</w:t>
    </w:r>
    <w:r w:rsidR="009B5181">
      <w:rPr>
        <w:sz w:val="20"/>
      </w:rPr>
      <w:t xml:space="preserve"> – </w:t>
    </w:r>
    <w:r w:rsidR="009B5181" w:rsidRPr="009B5181">
      <w:rPr>
        <w:sz w:val="20"/>
      </w:rPr>
      <w:t>18</w:t>
    </w:r>
    <w:r w:rsidR="009B5181">
      <w:rPr>
        <w:sz w:val="20"/>
      </w:rPr>
      <w:t xml:space="preserve"> марта 20</w:t>
    </w:r>
    <w:r w:rsidR="009B5181" w:rsidRPr="009B5181">
      <w:rPr>
        <w:sz w:val="20"/>
      </w:rPr>
      <w:t>22</w:t>
    </w:r>
    <w:r w:rsidR="009B5181">
      <w:rPr>
        <w:sz w:val="20"/>
      </w:rPr>
      <w:t xml:space="preserve"> г.</w:t>
    </w:r>
  </w:p>
  <w:p w:rsidR="00654A7B" w:rsidRDefault="00C12F1F">
    <w:pPr>
      <w:pStyle w:val="a3"/>
      <w:jc w:val="center"/>
      <w:rPr>
        <w:sz w:val="20"/>
        <w:lang w:val="en-US"/>
      </w:rPr>
    </w:pPr>
    <w:r>
      <w:rPr>
        <w:noProof/>
        <w:sz w:val="20"/>
      </w:rPr>
      <w:pict>
        <v:line id="_x0000_s2055" style="position:absolute;left:0;text-align:left;flip:y;z-index:251657728" from="23.55pt,1.2pt" to="459.3pt,1.2p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C66120"/>
    <w:multiLevelType w:val="hybridMultilevel"/>
    <w:tmpl w:val="B88A11F8"/>
    <w:lvl w:ilvl="0" w:tplc="724A08B4">
      <w:start w:val="1"/>
      <w:numFmt w:val="decimal"/>
      <w:pStyle w:val="Zv-References-en"/>
      <w:lvlText w:val="[%1]."/>
      <w:lvlJc w:val="left"/>
      <w:pPr>
        <w:ind w:left="720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9BE1C7C"/>
    <w:multiLevelType w:val="hybridMultilevel"/>
    <w:tmpl w:val="AD82B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B742C59"/>
    <w:multiLevelType w:val="hybridMultilevel"/>
    <w:tmpl w:val="C7907DDE"/>
    <w:lvl w:ilvl="0" w:tplc="2B0CCDB0">
      <w:start w:val="1"/>
      <w:numFmt w:val="decimal"/>
      <w:pStyle w:val="1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95506D5"/>
    <w:multiLevelType w:val="hybridMultilevel"/>
    <w:tmpl w:val="9CD04C5E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513363CF"/>
    <w:multiLevelType w:val="hybridMultilevel"/>
    <w:tmpl w:val="47F6055C"/>
    <w:lvl w:ilvl="0" w:tplc="3B7699B8">
      <w:start w:val="1"/>
      <w:numFmt w:val="decimal"/>
      <w:pStyle w:val="Zv-References-ru"/>
      <w:lvlText w:val="[%1]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151351A"/>
    <w:multiLevelType w:val="hybridMultilevel"/>
    <w:tmpl w:val="DF0A2E70"/>
    <w:lvl w:ilvl="0" w:tplc="3AF8BFDA">
      <w:start w:val="1"/>
      <w:numFmt w:val="decimal"/>
      <w:pStyle w:val="2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BF95CDD"/>
    <w:multiLevelType w:val="hybridMultilevel"/>
    <w:tmpl w:val="C36EC594"/>
    <w:lvl w:ilvl="0" w:tplc="1502551E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4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5"/>
  </w:num>
  <w:num w:numId="8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noPunctuationKerning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1F1F01"/>
    <w:rsid w:val="00043701"/>
    <w:rsid w:val="00081366"/>
    <w:rsid w:val="000C657D"/>
    <w:rsid w:val="000C7078"/>
    <w:rsid w:val="000D76E9"/>
    <w:rsid w:val="000E495B"/>
    <w:rsid w:val="001C0CCB"/>
    <w:rsid w:val="001F1F01"/>
    <w:rsid w:val="00205708"/>
    <w:rsid w:val="00220629"/>
    <w:rsid w:val="0023083F"/>
    <w:rsid w:val="00247225"/>
    <w:rsid w:val="003800F3"/>
    <w:rsid w:val="003A606B"/>
    <w:rsid w:val="003B5B93"/>
    <w:rsid w:val="003E0981"/>
    <w:rsid w:val="00401388"/>
    <w:rsid w:val="0043297E"/>
    <w:rsid w:val="00446025"/>
    <w:rsid w:val="004A77D1"/>
    <w:rsid w:val="004B4ACC"/>
    <w:rsid w:val="004B72AA"/>
    <w:rsid w:val="004F4E29"/>
    <w:rsid w:val="005074E3"/>
    <w:rsid w:val="00515724"/>
    <w:rsid w:val="00567C6F"/>
    <w:rsid w:val="00573BAD"/>
    <w:rsid w:val="0058676C"/>
    <w:rsid w:val="005F0746"/>
    <w:rsid w:val="005F764D"/>
    <w:rsid w:val="006038C3"/>
    <w:rsid w:val="00654A7B"/>
    <w:rsid w:val="006B5B24"/>
    <w:rsid w:val="00732A2E"/>
    <w:rsid w:val="0078299E"/>
    <w:rsid w:val="007B09C9"/>
    <w:rsid w:val="007B6378"/>
    <w:rsid w:val="007E06CE"/>
    <w:rsid w:val="00802D35"/>
    <w:rsid w:val="00812BAF"/>
    <w:rsid w:val="008306AF"/>
    <w:rsid w:val="008520F9"/>
    <w:rsid w:val="008850EF"/>
    <w:rsid w:val="00906FF7"/>
    <w:rsid w:val="009B5181"/>
    <w:rsid w:val="009D3AC4"/>
    <w:rsid w:val="00AE6185"/>
    <w:rsid w:val="00B622ED"/>
    <w:rsid w:val="00B9584E"/>
    <w:rsid w:val="00C103CD"/>
    <w:rsid w:val="00C12F1F"/>
    <w:rsid w:val="00C232A0"/>
    <w:rsid w:val="00C5751F"/>
    <w:rsid w:val="00D0164D"/>
    <w:rsid w:val="00D47F19"/>
    <w:rsid w:val="00D900FB"/>
    <w:rsid w:val="00D92949"/>
    <w:rsid w:val="00D92E54"/>
    <w:rsid w:val="00E118BE"/>
    <w:rsid w:val="00E7021A"/>
    <w:rsid w:val="00E87733"/>
    <w:rsid w:val="00EE371E"/>
    <w:rsid w:val="00EF07A9"/>
    <w:rsid w:val="00F722F5"/>
    <w:rsid w:val="00F74399"/>
    <w:rsid w:val="00F95123"/>
    <w:rsid w:val="00FE5AB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5123"/>
    <w:rPr>
      <w:sz w:val="24"/>
      <w:szCs w:val="24"/>
    </w:rPr>
  </w:style>
  <w:style w:type="paragraph" w:styleId="10">
    <w:name w:val="heading 1"/>
    <w:basedOn w:val="a"/>
    <w:next w:val="a"/>
    <w:qFormat/>
    <w:rsid w:val="00F9512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0">
    <w:name w:val="heading 2"/>
    <w:basedOn w:val="a"/>
    <w:next w:val="a"/>
    <w:qFormat/>
    <w:rsid w:val="00F95123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rsid w:val="00F95123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F95123"/>
    <w:pPr>
      <w:tabs>
        <w:tab w:val="center" w:pos="4677"/>
        <w:tab w:val="right" w:pos="9355"/>
      </w:tabs>
    </w:pPr>
  </w:style>
  <w:style w:type="paragraph" w:styleId="a4">
    <w:name w:val="footer"/>
    <w:basedOn w:val="a"/>
    <w:link w:val="a5"/>
    <w:uiPriority w:val="99"/>
    <w:rsid w:val="00F95123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F95123"/>
  </w:style>
  <w:style w:type="paragraph" w:customStyle="1" w:styleId="Zv-Author">
    <w:name w:val="Zv-Author"/>
    <w:basedOn w:val="a"/>
    <w:next w:val="Zv-Organization"/>
    <w:rsid w:val="00F95123"/>
    <w:pPr>
      <w:spacing w:after="120"/>
      <w:ind w:left="397" w:right="397"/>
      <w:jc w:val="center"/>
    </w:pPr>
    <w:rPr>
      <w:bCs/>
      <w:iCs/>
      <w:szCs w:val="20"/>
    </w:rPr>
  </w:style>
  <w:style w:type="paragraph" w:customStyle="1" w:styleId="Zv-Organization">
    <w:name w:val="Zv-Organization"/>
    <w:basedOn w:val="a"/>
    <w:next w:val="Zv-bodyreport"/>
    <w:rsid w:val="00F95123"/>
    <w:pPr>
      <w:tabs>
        <w:tab w:val="center" w:pos="4320"/>
      </w:tabs>
      <w:spacing w:before="120" w:after="240"/>
      <w:ind w:left="567"/>
    </w:pPr>
    <w:rPr>
      <w:i/>
      <w:szCs w:val="20"/>
    </w:rPr>
  </w:style>
  <w:style w:type="paragraph" w:customStyle="1" w:styleId="Zv-Titlereport">
    <w:name w:val="Zv-Title_report"/>
    <w:basedOn w:val="3"/>
    <w:next w:val="Zv-Author"/>
    <w:rsid w:val="00F95123"/>
    <w:pPr>
      <w:spacing w:before="0" w:after="120"/>
      <w:jc w:val="center"/>
    </w:pPr>
    <w:rPr>
      <w:rFonts w:ascii="Times New Roman" w:hAnsi="Times New Roman" w:cs="Times New Roman"/>
      <w:bCs w:val="0"/>
      <w:caps/>
      <w:kern w:val="24"/>
      <w:sz w:val="24"/>
      <w:szCs w:val="20"/>
    </w:rPr>
  </w:style>
  <w:style w:type="paragraph" w:customStyle="1" w:styleId="Zv-TitleReferences-ru">
    <w:name w:val="Zv-Title_References-ru"/>
    <w:basedOn w:val="a7"/>
    <w:next w:val="Zv-References-ru"/>
    <w:rsid w:val="00F95123"/>
    <w:pPr>
      <w:spacing w:before="120"/>
    </w:pPr>
    <w:rPr>
      <w:b/>
      <w:bCs/>
      <w:szCs w:val="20"/>
      <w:lang w:eastAsia="en-US"/>
    </w:rPr>
  </w:style>
  <w:style w:type="paragraph" w:customStyle="1" w:styleId="Zv-bodyreport">
    <w:name w:val="Zv-body_report"/>
    <w:basedOn w:val="a"/>
    <w:rsid w:val="00F95123"/>
    <w:pPr>
      <w:ind w:firstLine="284"/>
      <w:jc w:val="both"/>
    </w:pPr>
  </w:style>
  <w:style w:type="paragraph" w:styleId="a7">
    <w:name w:val="Body Text"/>
    <w:basedOn w:val="a"/>
    <w:rsid w:val="00F95123"/>
    <w:pPr>
      <w:spacing w:after="120"/>
    </w:pPr>
  </w:style>
  <w:style w:type="paragraph" w:customStyle="1" w:styleId="Zv-References-ru">
    <w:name w:val="Zv-References-ru"/>
    <w:basedOn w:val="a7"/>
    <w:rsid w:val="00F95123"/>
    <w:pPr>
      <w:numPr>
        <w:numId w:val="2"/>
      </w:numPr>
      <w:spacing w:after="0"/>
    </w:pPr>
    <w:rPr>
      <w:szCs w:val="20"/>
      <w:lang w:eastAsia="en-US"/>
    </w:rPr>
  </w:style>
  <w:style w:type="paragraph" w:customStyle="1" w:styleId="Zv-formula">
    <w:name w:val="Zv-formula"/>
    <w:basedOn w:val="Zv-bodyreport"/>
    <w:next w:val="Zv-bodyreportcont"/>
    <w:rsid w:val="00F95123"/>
    <w:pPr>
      <w:tabs>
        <w:tab w:val="center" w:pos="3960"/>
        <w:tab w:val="left" w:pos="8820"/>
      </w:tabs>
    </w:pPr>
  </w:style>
  <w:style w:type="paragraph" w:customStyle="1" w:styleId="Zv-bodyreportcont">
    <w:name w:val="Zv-body_report_cont"/>
    <w:basedOn w:val="Zv-bodyreport"/>
    <w:next w:val="Zv-bodyreport"/>
    <w:rsid w:val="00F95123"/>
    <w:pPr>
      <w:ind w:firstLine="0"/>
    </w:pPr>
  </w:style>
  <w:style w:type="paragraph" w:customStyle="1" w:styleId="Zv-References-en">
    <w:name w:val="Zv-References-en"/>
    <w:basedOn w:val="Zv-References-ru"/>
    <w:qFormat/>
    <w:rsid w:val="00C232A0"/>
    <w:pPr>
      <w:numPr>
        <w:numId w:val="6"/>
      </w:numPr>
      <w:tabs>
        <w:tab w:val="left" w:pos="567"/>
      </w:tabs>
      <w:ind w:left="567" w:hanging="567"/>
    </w:pPr>
    <w:rPr>
      <w:lang w:val="en-US"/>
    </w:rPr>
  </w:style>
  <w:style w:type="paragraph" w:customStyle="1" w:styleId="1">
    <w:name w:val="Стиль1"/>
    <w:basedOn w:val="a3"/>
    <w:qFormat/>
    <w:rsid w:val="00401388"/>
    <w:pPr>
      <w:numPr>
        <w:numId w:val="5"/>
      </w:numPr>
      <w:tabs>
        <w:tab w:val="clear" w:pos="4677"/>
        <w:tab w:val="clear" w:pos="9355"/>
      </w:tabs>
      <w:spacing w:after="120"/>
      <w:ind w:left="426"/>
    </w:pPr>
    <w:rPr>
      <w:lang w:val="en-US"/>
    </w:rPr>
  </w:style>
  <w:style w:type="paragraph" w:customStyle="1" w:styleId="2">
    <w:name w:val="Стиль2"/>
    <w:basedOn w:val="1"/>
    <w:next w:val="1"/>
    <w:qFormat/>
    <w:rsid w:val="00401388"/>
    <w:pPr>
      <w:numPr>
        <w:numId w:val="7"/>
      </w:numPr>
      <w:ind w:left="360"/>
    </w:pPr>
  </w:style>
  <w:style w:type="paragraph" w:customStyle="1" w:styleId="Zv-TitleReferences-en">
    <w:name w:val="Zv-Title_References-en"/>
    <w:basedOn w:val="Zv-TitleReferences-ru"/>
    <w:next w:val="Zv-References-en"/>
    <w:qFormat/>
    <w:rsid w:val="00E7021A"/>
  </w:style>
  <w:style w:type="paragraph" w:styleId="a8">
    <w:name w:val="List Paragraph"/>
    <w:aliases w:val="Title"/>
    <w:basedOn w:val="a"/>
    <w:link w:val="a9"/>
    <w:uiPriority w:val="34"/>
    <w:qFormat/>
    <w:rsid w:val="00D9294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a">
    <w:name w:val="Hyperlink"/>
    <w:rsid w:val="00D92949"/>
    <w:rPr>
      <w:color w:val="0000FF"/>
      <w:u w:val="single"/>
    </w:rPr>
  </w:style>
  <w:style w:type="character" w:customStyle="1" w:styleId="a9">
    <w:name w:val="Абзац списка Знак"/>
    <w:aliases w:val="Title Знак"/>
    <w:link w:val="a8"/>
    <w:uiPriority w:val="34"/>
    <w:locked/>
    <w:rsid w:val="00D92949"/>
    <w:rPr>
      <w:rFonts w:ascii="Calibri" w:eastAsia="Calibri" w:hAnsi="Calibri"/>
      <w:sz w:val="22"/>
      <w:szCs w:val="22"/>
      <w:lang w:eastAsia="en-US"/>
    </w:rPr>
  </w:style>
  <w:style w:type="character" w:customStyle="1" w:styleId="a5">
    <w:name w:val="Нижний колонтитул Знак"/>
    <w:basedOn w:val="a0"/>
    <w:link w:val="a4"/>
    <w:uiPriority w:val="99"/>
    <w:rsid w:val="00D92949"/>
    <w:rPr>
      <w:sz w:val="24"/>
      <w:szCs w:val="24"/>
    </w:rPr>
  </w:style>
  <w:style w:type="paragraph" w:styleId="ab">
    <w:name w:val="footnote text"/>
    <w:basedOn w:val="a"/>
    <w:link w:val="ac"/>
    <w:rsid w:val="0078299E"/>
    <w:rPr>
      <w:sz w:val="20"/>
      <w:szCs w:val="20"/>
    </w:rPr>
  </w:style>
  <w:style w:type="character" w:customStyle="1" w:styleId="ac">
    <w:name w:val="Текст сноски Знак"/>
    <w:basedOn w:val="a0"/>
    <w:link w:val="ab"/>
    <w:rsid w:val="0078299E"/>
  </w:style>
  <w:style w:type="character" w:styleId="ad">
    <w:name w:val="footnote reference"/>
    <w:basedOn w:val="a0"/>
    <w:rsid w:val="0078299E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imenowigor@mail.ru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pl.gpi.ru/Zvenigorod/XLIX/Mu/en/AN-Pimenov_e.docx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D:\Users\sato\AppData\Roaming\Microsoft\&#1064;&#1072;&#1073;&#1083;&#1086;&#1085;&#1099;\Zven_2022_e.dot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516BCD0-930D-496B-A21D-1FCC32621D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Zven_2022_e.dotx</Template>
  <TotalTime>5</TotalTime>
  <Pages>1</Pages>
  <Words>260</Words>
  <Characters>1740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ОБОСНОВАНИЕ ВОЗМОЖНОСТИ ПРИМЕНЕНИЯ ДИАГНОСТИКИ КОЛЛЕКТИВНОГО ТОМСОНОВСКОГО РАССЕЯНИЯ НА ТОКАМАКЕ Т-15МД С ИСПОЛЬЗОВАНИЕМ ГИРОТРОНОВ</dc:title>
  <dc:creator/>
  <cp:lastModifiedBy>Сатунин</cp:lastModifiedBy>
  <cp:revision>4</cp:revision>
  <cp:lastPrinted>1601-01-01T00:00:00Z</cp:lastPrinted>
  <dcterms:created xsi:type="dcterms:W3CDTF">2022-02-21T15:10:00Z</dcterms:created>
  <dcterms:modified xsi:type="dcterms:W3CDTF">2022-03-24T18:03:00Z</dcterms:modified>
</cp:coreProperties>
</file>