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C2" w:rsidRPr="000B7C2B" w:rsidRDefault="00E151C2" w:rsidP="000B7C2B">
      <w:pPr>
        <w:pStyle w:val="Zv-Titlereport"/>
        <w:keepNext w:val="0"/>
        <w:widowControl w:val="0"/>
        <w:spacing w:line="216" w:lineRule="auto"/>
      </w:pPr>
      <w:r w:rsidRPr="00C82374">
        <w:t>3</w:t>
      </w:r>
      <w:r>
        <w:t>Д Модель комплекса</w:t>
      </w:r>
      <w:r w:rsidRPr="0038638D">
        <w:t xml:space="preserve"> токамак</w:t>
      </w:r>
      <w:r>
        <w:t>а</w:t>
      </w:r>
      <w:r w:rsidRPr="0038638D">
        <w:t xml:space="preserve"> Т-15МД</w:t>
      </w:r>
      <w:r w:rsidR="000B7C2B" w:rsidRPr="000B7C2B">
        <w:t xml:space="preserve"> </w:t>
      </w:r>
      <w:r w:rsidR="000B7C2B">
        <w:rPr>
          <w:rStyle w:val="aa"/>
        </w:rPr>
        <w:footnoteReference w:customMarkFollows="1" w:id="1"/>
        <w:t>*)</w:t>
      </w:r>
    </w:p>
    <w:p w:rsidR="00E151C2" w:rsidRPr="009A4345" w:rsidRDefault="00E151C2" w:rsidP="000B7C2B">
      <w:pPr>
        <w:pStyle w:val="Zv-Author"/>
        <w:widowControl w:val="0"/>
        <w:spacing w:line="216" w:lineRule="auto"/>
      </w:pPr>
      <w:r w:rsidRPr="009A4345">
        <w:rPr>
          <w:vertAlign w:val="superscript"/>
        </w:rPr>
        <w:t>1</w:t>
      </w:r>
      <w:r w:rsidRPr="005F7196">
        <w:t>Драбинский</w:t>
      </w:r>
      <w:r w:rsidRPr="009A4345">
        <w:t xml:space="preserve"> </w:t>
      </w:r>
      <w:r>
        <w:t>М</w:t>
      </w:r>
      <w:r w:rsidRPr="009A4345">
        <w:t>.</w:t>
      </w:r>
      <w:r>
        <w:t>А</w:t>
      </w:r>
      <w:r w:rsidRPr="009A4345">
        <w:t xml:space="preserve">., </w:t>
      </w:r>
      <w:r w:rsidRPr="009A4345">
        <w:rPr>
          <w:vertAlign w:val="superscript"/>
        </w:rPr>
        <w:t>1</w:t>
      </w:r>
      <w:r>
        <w:t>Субботин</w:t>
      </w:r>
      <w:r w:rsidRPr="009A4345">
        <w:t xml:space="preserve"> </w:t>
      </w:r>
      <w:r>
        <w:t>Г</w:t>
      </w:r>
      <w:r w:rsidRPr="009A4345">
        <w:t>.</w:t>
      </w:r>
      <w:r>
        <w:t>Ф</w:t>
      </w:r>
      <w:r w:rsidRPr="009A4345">
        <w:t xml:space="preserve">., </w:t>
      </w:r>
      <w:r w:rsidRPr="009A4345">
        <w:rPr>
          <w:vertAlign w:val="superscript"/>
        </w:rPr>
        <w:t>1,2</w:t>
      </w:r>
      <w:r>
        <w:t>Земцов</w:t>
      </w:r>
      <w:r w:rsidRPr="009A4345">
        <w:t xml:space="preserve"> </w:t>
      </w:r>
      <w:r>
        <w:t>И</w:t>
      </w:r>
      <w:r w:rsidRPr="009A4345">
        <w:t>.</w:t>
      </w:r>
      <w:r>
        <w:t>А</w:t>
      </w:r>
      <w:r w:rsidRPr="009A4345">
        <w:t xml:space="preserve">., </w:t>
      </w:r>
      <w:r w:rsidRPr="009A4345">
        <w:rPr>
          <w:vertAlign w:val="superscript"/>
        </w:rPr>
        <w:t>1,3</w:t>
      </w:r>
      <w:r>
        <w:t>Панфилов</w:t>
      </w:r>
      <w:r w:rsidRPr="009A4345">
        <w:t xml:space="preserve"> </w:t>
      </w:r>
      <w:r>
        <w:t>Д</w:t>
      </w:r>
      <w:r w:rsidRPr="009A4345">
        <w:t>.</w:t>
      </w:r>
      <w:r>
        <w:t>С</w:t>
      </w:r>
      <w:r w:rsidRPr="009A4345">
        <w:t xml:space="preserve">., </w:t>
      </w:r>
      <w:r w:rsidRPr="009A4345">
        <w:rPr>
          <w:vertAlign w:val="superscript"/>
        </w:rPr>
        <w:t>1</w:t>
      </w:r>
      <w:r>
        <w:t>Сушков</w:t>
      </w:r>
      <w:r w:rsidRPr="009A4345">
        <w:t xml:space="preserve"> </w:t>
      </w:r>
      <w:r>
        <w:t>А</w:t>
      </w:r>
      <w:r w:rsidRPr="009A4345">
        <w:t>.</w:t>
      </w:r>
      <w:r>
        <w:t>В</w:t>
      </w:r>
      <w:r w:rsidRPr="009A4345">
        <w:t xml:space="preserve">., </w:t>
      </w:r>
      <w:r w:rsidRPr="009A4345">
        <w:rPr>
          <w:vertAlign w:val="superscript"/>
        </w:rPr>
        <w:t>1</w:t>
      </w:r>
      <w:r w:rsidRPr="00D5016C">
        <w:t>Анашкин</w:t>
      </w:r>
      <w:r w:rsidRPr="009A4345">
        <w:t xml:space="preserve"> </w:t>
      </w:r>
      <w:r>
        <w:t>И</w:t>
      </w:r>
      <w:r w:rsidRPr="009A4345">
        <w:t>.</w:t>
      </w:r>
      <w:r>
        <w:t>О</w:t>
      </w:r>
      <w:r w:rsidRPr="009A4345">
        <w:t xml:space="preserve">., </w:t>
      </w:r>
      <w:r w:rsidRPr="009A4345">
        <w:rPr>
          <w:vertAlign w:val="superscript"/>
        </w:rPr>
        <w:t>1</w:t>
      </w:r>
      <w:r>
        <w:t>Рой</w:t>
      </w:r>
      <w:r w:rsidRPr="009A4345">
        <w:t xml:space="preserve"> </w:t>
      </w:r>
      <w:r>
        <w:t>И</w:t>
      </w:r>
      <w:r w:rsidRPr="009A4345">
        <w:t>.</w:t>
      </w:r>
      <w:r>
        <w:t>Н</w:t>
      </w:r>
      <w:r w:rsidRPr="009A4345">
        <w:t xml:space="preserve">., </w:t>
      </w:r>
      <w:r w:rsidRPr="009A4345">
        <w:rPr>
          <w:vertAlign w:val="superscript"/>
        </w:rPr>
        <w:t>1,3,4</w:t>
      </w:r>
      <w:r w:rsidRPr="005F7196">
        <w:t>Мельников</w:t>
      </w:r>
      <w:r w:rsidRPr="009A4345">
        <w:t xml:space="preserve"> </w:t>
      </w:r>
      <w:r>
        <w:t>А</w:t>
      </w:r>
      <w:r w:rsidRPr="009A4345">
        <w:t>.</w:t>
      </w:r>
      <w:r>
        <w:t>В</w:t>
      </w:r>
      <w:r w:rsidRPr="009A4345">
        <w:t xml:space="preserve">., </w:t>
      </w:r>
      <w:r w:rsidRPr="009A4345">
        <w:rPr>
          <w:vertAlign w:val="superscript"/>
        </w:rPr>
        <w:t>1</w:t>
      </w:r>
      <w:r>
        <w:t>Баркалов</w:t>
      </w:r>
      <w:r w:rsidRPr="009A4345">
        <w:t xml:space="preserve"> </w:t>
      </w:r>
      <w:r>
        <w:t>Е</w:t>
      </w:r>
      <w:r w:rsidRPr="009A4345">
        <w:t>.</w:t>
      </w:r>
      <w:r>
        <w:t>Е</w:t>
      </w:r>
      <w:r w:rsidRPr="009A4345">
        <w:t>.</w:t>
      </w:r>
      <w:r w:rsidR="00FE62E2" w:rsidRPr="009A4345">
        <w:t xml:space="preserve">, </w:t>
      </w:r>
      <w:r w:rsidR="00FE62E2" w:rsidRPr="009A4345">
        <w:rPr>
          <w:vertAlign w:val="superscript"/>
        </w:rPr>
        <w:t>1,</w:t>
      </w:r>
      <w:r w:rsidR="009A4345" w:rsidRPr="009A4345">
        <w:rPr>
          <w:vertAlign w:val="superscript"/>
        </w:rPr>
        <w:t>4</w:t>
      </w:r>
      <w:r w:rsidR="00FE62E2">
        <w:rPr>
          <w:rFonts w:ascii="YS Text" w:hAnsi="YS Text"/>
          <w:color w:val="000000"/>
          <w:shd w:val="clear" w:color="auto" w:fill="FFFFFF"/>
        </w:rPr>
        <w:t>Владимиров</w:t>
      </w:r>
      <w:r w:rsidR="00FE62E2" w:rsidRPr="009A4345">
        <w:rPr>
          <w:rFonts w:ascii="YS Text" w:hAnsi="YS Text"/>
          <w:color w:val="000000"/>
          <w:shd w:val="clear" w:color="auto" w:fill="FFFFFF"/>
        </w:rPr>
        <w:t xml:space="preserve"> </w:t>
      </w:r>
      <w:r w:rsidR="00FE62E2">
        <w:rPr>
          <w:rFonts w:ascii="YS Text" w:hAnsi="YS Text"/>
          <w:color w:val="000000"/>
          <w:shd w:val="clear" w:color="auto" w:fill="FFFFFF"/>
        </w:rPr>
        <w:t>И</w:t>
      </w:r>
      <w:r w:rsidR="00FE62E2" w:rsidRPr="009A4345">
        <w:rPr>
          <w:rFonts w:ascii="YS Text" w:hAnsi="YS Text"/>
          <w:color w:val="000000"/>
          <w:shd w:val="clear" w:color="auto" w:fill="FFFFFF"/>
        </w:rPr>
        <w:t>.</w:t>
      </w:r>
      <w:r w:rsidR="00FE62E2">
        <w:rPr>
          <w:rFonts w:ascii="YS Text" w:hAnsi="YS Text"/>
          <w:color w:val="000000"/>
          <w:shd w:val="clear" w:color="auto" w:fill="FFFFFF"/>
        </w:rPr>
        <w:t>А</w:t>
      </w:r>
      <w:r w:rsidR="00FE62E2" w:rsidRPr="009A4345">
        <w:rPr>
          <w:rFonts w:ascii="YS Text" w:hAnsi="YS Text"/>
          <w:color w:val="000000"/>
          <w:shd w:val="clear" w:color="auto" w:fill="FFFFFF"/>
        </w:rPr>
        <w:t xml:space="preserve">., </w:t>
      </w:r>
      <w:r w:rsidR="00FE62E2" w:rsidRPr="009A4345">
        <w:rPr>
          <w:rFonts w:ascii="YS Text" w:hAnsi="YS Text"/>
          <w:color w:val="000000"/>
          <w:shd w:val="clear" w:color="auto" w:fill="FFFFFF"/>
          <w:vertAlign w:val="superscript"/>
        </w:rPr>
        <w:t>1,5</w:t>
      </w:r>
      <w:r w:rsidR="00FE62E2">
        <w:rPr>
          <w:rFonts w:ascii="YS Text" w:hAnsi="YS Text"/>
          <w:color w:val="000000"/>
          <w:shd w:val="clear" w:color="auto" w:fill="FFFFFF"/>
        </w:rPr>
        <w:t>Белоусов</w:t>
      </w:r>
      <w:r w:rsidR="00FE62E2" w:rsidRPr="009A4345">
        <w:rPr>
          <w:rFonts w:ascii="YS Text" w:hAnsi="YS Text"/>
          <w:color w:val="000000"/>
          <w:shd w:val="clear" w:color="auto" w:fill="FFFFFF"/>
        </w:rPr>
        <w:t xml:space="preserve"> </w:t>
      </w:r>
      <w:r w:rsidR="00FE62E2">
        <w:rPr>
          <w:rFonts w:ascii="YS Text" w:hAnsi="YS Text"/>
          <w:color w:val="000000"/>
          <w:shd w:val="clear" w:color="auto" w:fill="FFFFFF"/>
        </w:rPr>
        <w:t>С</w:t>
      </w:r>
      <w:r w:rsidR="00FE62E2" w:rsidRPr="009A4345">
        <w:rPr>
          <w:rFonts w:ascii="YS Text" w:hAnsi="YS Text"/>
          <w:color w:val="000000"/>
          <w:shd w:val="clear" w:color="auto" w:fill="FFFFFF"/>
        </w:rPr>
        <w:t>.</w:t>
      </w:r>
      <w:r w:rsidR="00FE62E2">
        <w:rPr>
          <w:rFonts w:ascii="YS Text" w:hAnsi="YS Text"/>
          <w:color w:val="000000"/>
          <w:shd w:val="clear" w:color="auto" w:fill="FFFFFF"/>
        </w:rPr>
        <w:t>В</w:t>
      </w:r>
      <w:r w:rsidR="00FE62E2" w:rsidRPr="009A4345">
        <w:rPr>
          <w:rFonts w:ascii="YS Text" w:hAnsi="YS Text"/>
          <w:color w:val="000000"/>
          <w:shd w:val="clear" w:color="auto" w:fill="FFFFFF"/>
        </w:rPr>
        <w:t>.</w:t>
      </w:r>
    </w:p>
    <w:p w:rsidR="00E151C2" w:rsidRPr="00FE62E2" w:rsidRDefault="00E151C2" w:rsidP="000B7C2B">
      <w:pPr>
        <w:pStyle w:val="Zv-Organization"/>
        <w:widowControl w:val="0"/>
        <w:spacing w:line="216" w:lineRule="auto"/>
        <w:rPr>
          <w:i w:val="0"/>
        </w:rPr>
      </w:pPr>
      <w:r w:rsidRPr="003309F8">
        <w:rPr>
          <w:vertAlign w:val="superscript"/>
        </w:rPr>
        <w:t>1</w:t>
      </w:r>
      <w:r>
        <w:t>НИЦ "Курчатовский институт", г. Москва</w:t>
      </w:r>
      <w:r w:rsidRPr="002235E8">
        <w:t>, Россия</w:t>
      </w:r>
      <w:r>
        <w:br/>
      </w:r>
      <w:r>
        <w:rPr>
          <w:vertAlign w:val="superscript"/>
        </w:rPr>
        <w:t>2</w:t>
      </w:r>
      <w:r>
        <w:t>МГТУ им. Н.Э. Баумана, г. Москва</w:t>
      </w:r>
      <w:r w:rsidRPr="002235E8">
        <w:t>, Россия</w:t>
      </w:r>
      <w:r>
        <w:br/>
      </w:r>
      <w:r w:rsidR="003C4BC1">
        <w:rPr>
          <w:vertAlign w:val="superscript"/>
          <w:lang w:val="en-US"/>
        </w:rPr>
        <w:t>3</w:t>
      </w:r>
      <w:r>
        <w:t>НИЯУ Московский инженерно-физический институт, г. Москва</w:t>
      </w:r>
      <w:r w:rsidR="003C4BC1" w:rsidRPr="003C4BC1">
        <w:br/>
      </w:r>
      <w:r w:rsidR="003C4BC1" w:rsidRPr="003C4BC1">
        <w:rPr>
          <w:vertAlign w:val="superscript"/>
        </w:rPr>
        <w:t>4</w:t>
      </w:r>
      <w:r w:rsidR="003C4BC1">
        <w:t>НИУ Московский физико-технический институт, г. Москва</w:t>
      </w:r>
      <w:r w:rsidR="003C4BC1" w:rsidRPr="002235E8">
        <w:t>, Россия</w:t>
      </w:r>
      <w:r w:rsidR="00FE62E2" w:rsidRPr="00FE62E2">
        <w:br/>
      </w:r>
      <w:r w:rsidR="00FE62E2" w:rsidRPr="00FE62E2">
        <w:rPr>
          <w:vertAlign w:val="superscript"/>
        </w:rPr>
        <w:t>5</w:t>
      </w:r>
      <w:r w:rsidR="00FE62E2">
        <w:t>НИУ</w:t>
      </w:r>
      <w:r w:rsidR="00FE62E2" w:rsidRPr="00FE62E2">
        <w:t xml:space="preserve"> "МЭИ", Москва, Россия</w:t>
      </w:r>
    </w:p>
    <w:p w:rsidR="00E151C2" w:rsidRDefault="00E151C2" w:rsidP="000B7C2B">
      <w:pPr>
        <w:pStyle w:val="Zv-bodyreport"/>
        <w:widowControl w:val="0"/>
        <w:spacing w:line="216" w:lineRule="auto"/>
      </w:pPr>
      <w:r>
        <w:t xml:space="preserve">В НИЦ «Курчатовский институт» ведутся работы по созданию систем диагностики и дополнительного нагрева плазмы (инжекция нейтральных атомов, ЭЦРН, ИЦРН) </w:t>
      </w:r>
      <w:r w:rsidRPr="003F05F9">
        <w:t>[1-3]</w:t>
      </w:r>
      <w:r>
        <w:t xml:space="preserve"> токамака Т</w:t>
      </w:r>
      <w:r>
        <w:noBreakHyphen/>
        <w:t>15МД (</w:t>
      </w:r>
      <w:r w:rsidRPr="00C332E0">
        <w:rPr>
          <w:i/>
        </w:rPr>
        <w:t>R</w:t>
      </w:r>
      <w:r>
        <w:t> = 1.48</w:t>
      </w:r>
      <w:r>
        <w:rPr>
          <w:lang w:val="en-US"/>
        </w:rPr>
        <w:t> </w:t>
      </w:r>
      <w:r>
        <w:t xml:space="preserve">м, </w:t>
      </w:r>
      <w:r w:rsidRPr="00C332E0">
        <w:rPr>
          <w:i/>
        </w:rPr>
        <w:t>r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0.67</w:t>
      </w:r>
      <w:r>
        <w:rPr>
          <w:lang w:val="en-US"/>
        </w:rPr>
        <w:t> </w:t>
      </w:r>
      <w:r>
        <w:t xml:space="preserve">м, </w:t>
      </w:r>
      <w:r w:rsidRPr="00C332E0">
        <w:rPr>
          <w:i/>
        </w:rPr>
        <w:t>B</w:t>
      </w:r>
      <w:r w:rsidRPr="00C332E0">
        <w:rPr>
          <w:i/>
          <w:vertAlign w:val="subscript"/>
        </w:rPr>
        <w:t>t</w:t>
      </w:r>
      <w:r>
        <w:rPr>
          <w:lang w:val="en-US"/>
        </w:rPr>
        <w:t> </w:t>
      </w:r>
      <w:r>
        <w:t>≤</w:t>
      </w:r>
      <w:r>
        <w:rPr>
          <w:lang w:val="en-US"/>
        </w:rPr>
        <w:t> </w:t>
      </w:r>
      <w:r>
        <w:t>2</w:t>
      </w:r>
      <w:r>
        <w:rPr>
          <w:lang w:val="en-US"/>
        </w:rPr>
        <w:t> </w:t>
      </w:r>
      <w:r>
        <w:t xml:space="preserve">Тл, </w:t>
      </w:r>
      <w:r w:rsidRPr="00C332E0">
        <w:rPr>
          <w:i/>
        </w:rPr>
        <w:t>I</w:t>
      </w:r>
      <w:r w:rsidRPr="00072227">
        <w:rPr>
          <w:vertAlign w:val="subscript"/>
        </w:rPr>
        <w:t>pl</w:t>
      </w:r>
      <w:r>
        <w:rPr>
          <w:lang w:val="en-US"/>
        </w:rPr>
        <w:t> </w:t>
      </w:r>
      <w:r>
        <w:t>≤</w:t>
      </w:r>
      <w:r>
        <w:rPr>
          <w:lang w:val="en-US"/>
        </w:rPr>
        <w:t> </w:t>
      </w:r>
      <w:r>
        <w:t>2</w:t>
      </w:r>
      <w:r>
        <w:rPr>
          <w:lang w:val="en-US"/>
        </w:rPr>
        <w:t> </w:t>
      </w:r>
      <w:r>
        <w:t>МА) [4</w:t>
      </w:r>
      <w:r w:rsidRPr="00C5522C">
        <w:t>].</w:t>
      </w:r>
      <w:r>
        <w:t xml:space="preserve"> Диагностический комплекс включает в себя оптические (CX</w:t>
      </w:r>
      <w:r>
        <w:rPr>
          <w:lang w:val="en-US"/>
        </w:rPr>
        <w:t>R</w:t>
      </w:r>
      <w:r>
        <w:t>S, томсоновское рассеяние)</w:t>
      </w:r>
      <w:r w:rsidRPr="00D93D51">
        <w:t xml:space="preserve"> </w:t>
      </w:r>
      <w:r w:rsidRPr="00CD61D2">
        <w:t>[</w:t>
      </w:r>
      <w:r>
        <w:t>5</w:t>
      </w:r>
      <w:r w:rsidRPr="00CD61D2">
        <w:t>,</w:t>
      </w:r>
      <w:r>
        <w:t xml:space="preserve"> 6</w:t>
      </w:r>
      <w:r w:rsidRPr="00CD61D2">
        <w:t>],</w:t>
      </w:r>
      <w:r>
        <w:t xml:space="preserve"> электромагнитные (ЭМ-зонды, пояс Роговского, диамагнитные петли)</w:t>
      </w:r>
      <w:r w:rsidRPr="00D93D51">
        <w:t xml:space="preserve"> </w:t>
      </w:r>
      <w:r w:rsidRPr="00AB0376">
        <w:t>[</w:t>
      </w:r>
      <w:r>
        <w:t>7</w:t>
      </w:r>
      <w:r w:rsidRPr="00AB0376">
        <w:t>-</w:t>
      </w:r>
      <w:r>
        <w:t>9</w:t>
      </w:r>
      <w:r w:rsidRPr="00AB0376">
        <w:t>]</w:t>
      </w:r>
      <w:r>
        <w:t>, СВЧ диагностики</w:t>
      </w:r>
      <w:r w:rsidRPr="00D93D51">
        <w:t xml:space="preserve"> </w:t>
      </w:r>
      <w:r w:rsidRPr="005F36C7">
        <w:t>[</w:t>
      </w:r>
      <w:r>
        <w:t>10</w:t>
      </w:r>
      <w:r w:rsidRPr="005F36C7">
        <w:t>]</w:t>
      </w:r>
      <w:r>
        <w:t xml:space="preserve"> и двойная диагностика плазмы пучком тяжёлых ионов </w:t>
      </w:r>
      <w:r w:rsidRPr="00812459">
        <w:t>[</w:t>
      </w:r>
      <w:r>
        <w:t>11</w:t>
      </w:r>
      <w:r w:rsidRPr="00812459">
        <w:t>]</w:t>
      </w:r>
      <w:r>
        <w:t>.</w:t>
      </w:r>
    </w:p>
    <w:p w:rsidR="00E151C2" w:rsidRDefault="00E151C2" w:rsidP="000B7C2B">
      <w:pPr>
        <w:pStyle w:val="Zv-bodyreport"/>
        <w:widowControl w:val="0"/>
        <w:spacing w:line="216" w:lineRule="auto"/>
      </w:pPr>
      <w:r>
        <w:t>С</w:t>
      </w:r>
      <w:r w:rsidRPr="005279C3">
        <w:t xml:space="preserve">истемы </w:t>
      </w:r>
      <w:r>
        <w:t xml:space="preserve">дополнительного </w:t>
      </w:r>
      <w:r w:rsidRPr="005279C3">
        <w:t xml:space="preserve">нагрева плазмы, линии питания и охлаждения установки и другие технологические системы, </w:t>
      </w:r>
      <w:r>
        <w:t>обеспечивающие</w:t>
      </w:r>
      <w:r w:rsidRPr="005279C3">
        <w:t xml:space="preserve"> работу токамака, </w:t>
      </w:r>
      <w:r>
        <w:t xml:space="preserve">располагаются в зале установки, </w:t>
      </w:r>
      <w:r w:rsidRPr="005279C3">
        <w:t>что существенно ограничивает пространство</w:t>
      </w:r>
      <w:r>
        <w:t>,</w:t>
      </w:r>
      <w:r w:rsidRPr="005279C3">
        <w:t xml:space="preserve"> доступное для размещения </w:t>
      </w:r>
      <w:r>
        <w:t>диагностик плазмы</w:t>
      </w:r>
      <w:r w:rsidRPr="005279C3">
        <w:t xml:space="preserve">. </w:t>
      </w:r>
      <w:r>
        <w:t>Для оптимального расположения оборудования с учётом всех ограничений и требований безопасности создана трехмерная модель токамака и зала установки. Её спользование позволяет обеспечить согласованное размещение необходимого оборудования, подведение технологических коммуникаций, а также реалистично оценивать возможности</w:t>
      </w:r>
      <w:r w:rsidRPr="00DF5299">
        <w:t xml:space="preserve"> </w:t>
      </w:r>
      <w:r>
        <w:t>установки, ввода в эксплуатацию и последующего обслуживания данного оборудования и</w:t>
      </w:r>
      <w:r w:rsidRPr="00FC2A21">
        <w:t xml:space="preserve"> </w:t>
      </w:r>
      <w:r>
        <w:t>облегчить проектирование новых элементов. Трёхмерная модель позволяет оптимизировать взаимодействие между различными системами при проектировании общих электрических и водных сетей нескольких диагностик и диагностических патрубков токамака.</w:t>
      </w:r>
    </w:p>
    <w:p w:rsidR="00E151C2" w:rsidRDefault="00E151C2" w:rsidP="000B7C2B">
      <w:pPr>
        <w:pStyle w:val="Zv-bodyreport"/>
        <w:widowControl w:val="0"/>
        <w:spacing w:line="216" w:lineRule="auto"/>
      </w:pPr>
      <w:r>
        <w:t>Модель включает в себя токамак Т-15МД, расположенный в зале установки на первом этаже здания, подвальное помещение, диагностическую антресоль, инжекторы нейтральных атомов, линии волноводов СВЧ-нагрева, оборудование рефлектометрии, диагностический инжектор нейтральных атомов, двойной диагностический комплекс зондирования пучком тяжёлых ионов, диагностика электрон-циклотронного излучения, томсоновское рассеяние и лазерный интерферометр. Модель создана на основе конструкторской документации, уточненной по фактическому положению объектов.</w:t>
      </w:r>
    </w:p>
    <w:p w:rsidR="00E151C2" w:rsidRDefault="00E151C2" w:rsidP="000B7C2B">
      <w:pPr>
        <w:pStyle w:val="Zv-bodyreport"/>
        <w:widowControl w:val="0"/>
        <w:spacing w:line="216" w:lineRule="auto"/>
      </w:pPr>
      <w:r>
        <w:t>В ближайшее время планируется включение в модель систем управления и питания инжекторов нейтральных частиц и гиротронов, включение дополнительных диагностик и уточнение моделей вакуумного оборудования в подвальном помещении.</w:t>
      </w:r>
    </w:p>
    <w:p w:rsidR="00E151C2" w:rsidRDefault="00E151C2" w:rsidP="000B7C2B">
      <w:pPr>
        <w:pStyle w:val="Zv-TitleReferences-ru"/>
        <w:widowControl w:val="0"/>
        <w:spacing w:line="216" w:lineRule="auto"/>
      </w:pPr>
      <w:r>
        <w:t>Литература</w:t>
      </w:r>
    </w:p>
    <w:p w:rsidR="00E151C2" w:rsidRPr="00FE62E2" w:rsidRDefault="00E151C2" w:rsidP="000B7C2B">
      <w:pPr>
        <w:pStyle w:val="Zv-References-ru"/>
        <w:widowControl w:val="0"/>
        <w:spacing w:line="216" w:lineRule="auto"/>
        <w:rPr>
          <w:lang w:val="en-US"/>
        </w:rPr>
      </w:pPr>
      <w:r w:rsidRPr="00FE62E2">
        <w:rPr>
          <w:lang w:val="en-US"/>
        </w:rPr>
        <w:t>A.V. Melnikov et al Fusion Engineering and Design 96 2015, pp. 306-310;</w:t>
      </w:r>
    </w:p>
    <w:p w:rsidR="00E151C2" w:rsidRPr="00FE62E2" w:rsidRDefault="00E151C2" w:rsidP="000B7C2B">
      <w:pPr>
        <w:pStyle w:val="Zv-References-ru"/>
        <w:widowControl w:val="0"/>
        <w:spacing w:line="216" w:lineRule="auto"/>
        <w:rPr>
          <w:lang w:val="en-US"/>
        </w:rPr>
      </w:pPr>
      <w:r w:rsidRPr="00FE62E2">
        <w:rPr>
          <w:lang w:val="en-US"/>
        </w:rPr>
        <w:t>I.N. Roy et al EPJ Web of Conferences 149 2017, 03021;</w:t>
      </w:r>
    </w:p>
    <w:p w:rsidR="00E151C2" w:rsidRPr="00FE62E2" w:rsidRDefault="00E151C2" w:rsidP="000B7C2B">
      <w:pPr>
        <w:pStyle w:val="Zv-References-ru"/>
        <w:widowControl w:val="0"/>
        <w:spacing w:line="216" w:lineRule="auto"/>
        <w:rPr>
          <w:lang w:val="en-US"/>
        </w:rPr>
      </w:pPr>
      <w:r w:rsidRPr="00FE62E2">
        <w:rPr>
          <w:lang w:val="en-US"/>
        </w:rPr>
        <w:t>A.V. Melnikov et al AIP Conference Proceedings 2254, 070007 (2020);</w:t>
      </w:r>
    </w:p>
    <w:p w:rsidR="00E151C2" w:rsidRPr="00E151C2" w:rsidRDefault="00E151C2" w:rsidP="000B7C2B">
      <w:pPr>
        <w:pStyle w:val="Zv-References-ru"/>
        <w:widowControl w:val="0"/>
        <w:spacing w:line="216" w:lineRule="auto"/>
      </w:pPr>
      <w:r w:rsidRPr="00E151C2">
        <w:t>Хвостенко П.П. и др. ВАНТ. Сер. Термоядерный синтез 2019, Т. 42 (1), С. 15-38;</w:t>
      </w:r>
    </w:p>
    <w:p w:rsidR="00E151C2" w:rsidRPr="00FE62E2" w:rsidRDefault="00E151C2" w:rsidP="000B7C2B">
      <w:pPr>
        <w:pStyle w:val="Zv-References-ru"/>
        <w:widowControl w:val="0"/>
        <w:spacing w:line="216" w:lineRule="auto"/>
        <w:rPr>
          <w:lang w:val="en-US"/>
        </w:rPr>
      </w:pPr>
      <w:r w:rsidRPr="00FE62E2">
        <w:rPr>
          <w:lang w:val="en-US"/>
        </w:rPr>
        <w:t>V. Krupin et al JINST 2020, 15 C02027;</w:t>
      </w:r>
    </w:p>
    <w:p w:rsidR="00E151C2" w:rsidRPr="00E151C2" w:rsidRDefault="00E151C2" w:rsidP="000B7C2B">
      <w:pPr>
        <w:pStyle w:val="Zv-References-ru"/>
        <w:widowControl w:val="0"/>
        <w:spacing w:line="216" w:lineRule="auto"/>
      </w:pPr>
      <w:r w:rsidRPr="00E151C2">
        <w:t>Г.М. Асадулин и др. ВАНТ. Сер. Термоядерный синтез 2016, Т. 39 (2), С. 15-38;</w:t>
      </w:r>
    </w:p>
    <w:p w:rsidR="00E151C2" w:rsidRPr="00FE62E2" w:rsidRDefault="00E151C2" w:rsidP="000B7C2B">
      <w:pPr>
        <w:pStyle w:val="Zv-References-ru"/>
        <w:widowControl w:val="0"/>
        <w:spacing w:line="216" w:lineRule="auto"/>
        <w:rPr>
          <w:lang w:val="en-US"/>
        </w:rPr>
      </w:pPr>
      <w:r w:rsidRPr="00FE62E2">
        <w:rPr>
          <w:lang w:val="en-US"/>
        </w:rPr>
        <w:t>A.V. Sushkov et al Fusion Engineering and Design 146 2019, pp. 383–387</w:t>
      </w:r>
    </w:p>
    <w:p w:rsidR="00E151C2" w:rsidRPr="00FE62E2" w:rsidRDefault="00E151C2" w:rsidP="000B7C2B">
      <w:pPr>
        <w:pStyle w:val="Zv-References-ru"/>
        <w:widowControl w:val="0"/>
        <w:spacing w:line="216" w:lineRule="auto"/>
        <w:rPr>
          <w:lang w:val="en-US"/>
        </w:rPr>
      </w:pPr>
      <w:r w:rsidRPr="00FE62E2">
        <w:rPr>
          <w:lang w:val="en-US"/>
        </w:rPr>
        <w:t>Dubrov, M</w:t>
      </w:r>
      <w:r w:rsidR="00FE62E2">
        <w:rPr>
          <w:lang w:val="en-US"/>
        </w:rPr>
        <w:t>.</w:t>
      </w:r>
      <w:r w:rsidRPr="00FE62E2">
        <w:rPr>
          <w:lang w:val="en-US"/>
        </w:rPr>
        <w:t>L et al Plasma Phys. Control. Fusion 2019, 61(6), 9;</w:t>
      </w:r>
    </w:p>
    <w:p w:rsidR="00E151C2" w:rsidRPr="00E151C2" w:rsidRDefault="00E151C2" w:rsidP="000B7C2B">
      <w:pPr>
        <w:pStyle w:val="Zv-References-ru"/>
        <w:widowControl w:val="0"/>
        <w:spacing w:line="216" w:lineRule="auto"/>
      </w:pPr>
      <w:r w:rsidRPr="00E151C2">
        <w:t>В.Д. Пустовитов и др. Физика Плазмы, 2020, том 46, № 8, с. 675–684</w:t>
      </w:r>
    </w:p>
    <w:p w:rsidR="00E151C2" w:rsidRPr="00E151C2" w:rsidRDefault="00E151C2" w:rsidP="000B7C2B">
      <w:pPr>
        <w:pStyle w:val="Zv-References-ru"/>
        <w:widowControl w:val="0"/>
        <w:spacing w:line="216" w:lineRule="auto"/>
      </w:pPr>
      <w:r w:rsidRPr="00E151C2">
        <w:t>Субботин Г.Ф. и др. Сборник тезисов докладов XLVIII Международной Звенигородской конференции по физике плазмы и управляемому термоядерному синтезу, Москва, 2021;</w:t>
      </w:r>
    </w:p>
    <w:p w:rsidR="00E151C2" w:rsidRPr="00FE62E2" w:rsidRDefault="00E151C2" w:rsidP="000B7C2B">
      <w:pPr>
        <w:pStyle w:val="Zv-References-ru"/>
        <w:widowControl w:val="0"/>
        <w:spacing w:line="216" w:lineRule="auto"/>
        <w:rPr>
          <w:lang w:val="en-US"/>
        </w:rPr>
      </w:pPr>
      <w:r w:rsidRPr="00FE62E2">
        <w:rPr>
          <w:lang w:val="en-US"/>
        </w:rPr>
        <w:t>M.A. Drabinskiy et al JINST 2019,14 C11027</w:t>
      </w:r>
    </w:p>
    <w:sectPr w:rsidR="00E151C2" w:rsidRPr="00FE62E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85" w:rsidRDefault="00117085">
      <w:r>
        <w:separator/>
      </w:r>
    </w:p>
  </w:endnote>
  <w:endnote w:type="continuationSeparator" w:id="0">
    <w:p w:rsidR="00117085" w:rsidRDefault="0011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E2" w:rsidRDefault="00A93E9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62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62E2" w:rsidRDefault="00FE62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57"/>
      <w:docPartObj>
        <w:docPartGallery w:val="Page Numbers (Bottom of Page)"/>
        <w:docPartUnique/>
      </w:docPartObj>
    </w:sdtPr>
    <w:sdtContent>
      <w:p w:rsidR="00FE62E2" w:rsidRDefault="00FE62E2">
        <w:pPr>
          <w:pStyle w:val="a4"/>
          <w:jc w:val="center"/>
        </w:pPr>
        <w:r>
          <w:rPr>
            <w:lang w:val="en-US"/>
          </w:rPr>
          <w:t>68</w:t>
        </w:r>
      </w:p>
    </w:sdtContent>
  </w:sdt>
  <w:p w:rsidR="00FE62E2" w:rsidRDefault="00FE62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85" w:rsidRDefault="00117085">
      <w:r>
        <w:separator/>
      </w:r>
    </w:p>
  </w:footnote>
  <w:footnote w:type="continuationSeparator" w:id="0">
    <w:p w:rsidR="00117085" w:rsidRDefault="00117085">
      <w:r>
        <w:continuationSeparator/>
      </w:r>
    </w:p>
  </w:footnote>
  <w:footnote w:id="1">
    <w:p w:rsidR="000B7C2B" w:rsidRPr="000B7C2B" w:rsidRDefault="000B7C2B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0B7C2B">
        <w:t xml:space="preserve"> </w:t>
      </w:r>
      <w:hyperlink r:id="rId1" w:history="1">
        <w:r w:rsidRPr="000B7C2B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E2" w:rsidRDefault="00FE62E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XLIX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E62E2">
      <w:rPr>
        <w:sz w:val="20"/>
      </w:rPr>
      <w:t>14</w:t>
    </w:r>
    <w:r>
      <w:rPr>
        <w:sz w:val="20"/>
      </w:rPr>
      <w:t xml:space="preserve"> – </w:t>
    </w:r>
    <w:r w:rsidRPr="00FE62E2">
      <w:rPr>
        <w:sz w:val="20"/>
      </w:rPr>
      <w:t>18</w:t>
    </w:r>
    <w:r>
      <w:rPr>
        <w:sz w:val="20"/>
      </w:rPr>
      <w:t xml:space="preserve"> марта 20</w:t>
    </w:r>
    <w:r w:rsidRPr="00FE62E2">
      <w:rPr>
        <w:sz w:val="20"/>
      </w:rPr>
      <w:t>22</w:t>
    </w:r>
    <w:r>
      <w:rPr>
        <w:sz w:val="20"/>
      </w:rPr>
      <w:t xml:space="preserve"> г.</w:t>
    </w:r>
  </w:p>
  <w:p w:rsidR="00FE62E2" w:rsidRDefault="00A93E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4909"/>
    <w:rsid w:val="00037DCC"/>
    <w:rsid w:val="00043701"/>
    <w:rsid w:val="000B7C2B"/>
    <w:rsid w:val="000C7078"/>
    <w:rsid w:val="000D76E9"/>
    <w:rsid w:val="000E495B"/>
    <w:rsid w:val="00117085"/>
    <w:rsid w:val="00140645"/>
    <w:rsid w:val="00171964"/>
    <w:rsid w:val="001B4F02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C4BC1"/>
    <w:rsid w:val="00401388"/>
    <w:rsid w:val="00446025"/>
    <w:rsid w:val="00447ABC"/>
    <w:rsid w:val="004A77D1"/>
    <w:rsid w:val="004B72AA"/>
    <w:rsid w:val="004D7613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56F1"/>
    <w:rsid w:val="00802D35"/>
    <w:rsid w:val="008E2894"/>
    <w:rsid w:val="009352E6"/>
    <w:rsid w:val="0094721E"/>
    <w:rsid w:val="009A4345"/>
    <w:rsid w:val="00A66876"/>
    <w:rsid w:val="00A71613"/>
    <w:rsid w:val="00A93E99"/>
    <w:rsid w:val="00AB3459"/>
    <w:rsid w:val="00AC328F"/>
    <w:rsid w:val="00AD7670"/>
    <w:rsid w:val="00B622ED"/>
    <w:rsid w:val="00B9584E"/>
    <w:rsid w:val="00BD05EF"/>
    <w:rsid w:val="00C103CD"/>
    <w:rsid w:val="00C232A0"/>
    <w:rsid w:val="00C62CFE"/>
    <w:rsid w:val="00CA791E"/>
    <w:rsid w:val="00CD4909"/>
    <w:rsid w:val="00CE0E75"/>
    <w:rsid w:val="00D47F19"/>
    <w:rsid w:val="00DA4715"/>
    <w:rsid w:val="00DA47E0"/>
    <w:rsid w:val="00DE16AD"/>
    <w:rsid w:val="00DF1C1D"/>
    <w:rsid w:val="00DF6D4D"/>
    <w:rsid w:val="00E0343A"/>
    <w:rsid w:val="00E1331D"/>
    <w:rsid w:val="00E151C2"/>
    <w:rsid w:val="00E7021A"/>
    <w:rsid w:val="00E87733"/>
    <w:rsid w:val="00EF2EB8"/>
    <w:rsid w:val="00F74399"/>
    <w:rsid w:val="00F95123"/>
    <w:rsid w:val="00FA3FAE"/>
    <w:rsid w:val="00FE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151C2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D4909"/>
    <w:rPr>
      <w:sz w:val="24"/>
      <w:szCs w:val="24"/>
    </w:rPr>
  </w:style>
  <w:style w:type="paragraph" w:styleId="a8">
    <w:name w:val="footnote text"/>
    <w:basedOn w:val="a"/>
    <w:link w:val="a9"/>
    <w:rsid w:val="000B7C2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B7C2B"/>
  </w:style>
  <w:style w:type="character" w:styleId="aa">
    <w:name w:val="footnote reference"/>
    <w:basedOn w:val="a0"/>
    <w:rsid w:val="000B7C2B"/>
    <w:rPr>
      <w:vertAlign w:val="superscript"/>
    </w:rPr>
  </w:style>
  <w:style w:type="character" w:styleId="ab">
    <w:name w:val="Hyperlink"/>
    <w:basedOn w:val="a0"/>
    <w:rsid w:val="000B7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L-Drabin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049A5-B1D6-420B-A579-7EF1874D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32</TotalTime>
  <Pages>1</Pages>
  <Words>453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3Д МОДЕЛЬ КОМПЛЕКСА ТОКАМАКА Т-15МД</vt:lpstr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3Д МОДЕЛЬ КОМПЛЕКСА ТОКАМАКА Т-15МД</dc:title>
  <dc:creator/>
  <cp:lastModifiedBy>Сатунин</cp:lastModifiedBy>
  <cp:revision>7</cp:revision>
  <cp:lastPrinted>1601-01-01T00:00:00Z</cp:lastPrinted>
  <dcterms:created xsi:type="dcterms:W3CDTF">2022-02-21T12:56:00Z</dcterms:created>
  <dcterms:modified xsi:type="dcterms:W3CDTF">2022-03-30T11:03:00Z</dcterms:modified>
</cp:coreProperties>
</file>