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57" w:rsidRDefault="00C844DC" w:rsidP="00891557">
      <w:pPr>
        <w:pStyle w:val="Zv-Titlereport"/>
      </w:pPr>
      <w:r w:rsidRPr="0066687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844DC" w:rsidRPr="0095603D" w:rsidRDefault="00C844D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844DC">
                    <w:rPr>
                      <w:sz w:val="22"/>
                      <w:szCs w:val="22"/>
                    </w:rPr>
                    <w:t>10.34854/ICPAF.2022.49.1.073</w:t>
                  </w:r>
                </w:p>
              </w:txbxContent>
            </v:textbox>
            <w10:anchorlock/>
          </v:shape>
        </w:pict>
      </w:r>
      <w:r w:rsidR="00891557" w:rsidRPr="009C5279">
        <w:t>СОЗДАНИЕ</w:t>
      </w:r>
      <w:r w:rsidR="00891557">
        <w:t xml:space="preserve"> И ПЛАЗМЕННЫЕ ИСПЫТАНИЯ НА ТОКАМАКЕ Т-11М ДЕЙСТВУЮЩЕЙ МОДЕЛИ ПОЛУЗАМКНУТОГО КОНТУРА ЦИРКУЛЯЦИИ ЛИТИЯ ДЛЯ КВАЗИСТАЦИОНАРНОГО ТОКАМАКА</w:t>
      </w:r>
    </w:p>
    <w:p w:rsidR="00891557" w:rsidRDefault="00891557" w:rsidP="00891557">
      <w:pPr>
        <w:pStyle w:val="Zv-Author"/>
      </w:pPr>
      <w:r w:rsidRPr="00163114">
        <w:rPr>
          <w:bCs w:val="0"/>
          <w:vertAlign w:val="superscript"/>
        </w:rPr>
        <w:t>1</w:t>
      </w:r>
      <w:r w:rsidRPr="007A76C0">
        <w:rPr>
          <w:bCs w:val="0"/>
          <w:u w:val="single"/>
        </w:rPr>
        <w:t>Мирнов С.В</w:t>
      </w:r>
      <w:r w:rsidRPr="00B03625">
        <w:rPr>
          <w:bCs w:val="0"/>
        </w:rPr>
        <w:t xml:space="preserve">., </w:t>
      </w:r>
      <w:r>
        <w:rPr>
          <w:rFonts w:eastAsia="+mn-ea"/>
          <w:bCs w:val="0"/>
          <w:color w:val="44546A"/>
          <w:vertAlign w:val="superscript"/>
        </w:rPr>
        <w:t>2</w:t>
      </w:r>
      <w:r w:rsidRPr="00891557">
        <w:t xml:space="preserve">Вертков А.В., </w:t>
      </w:r>
      <w:r>
        <w:rPr>
          <w:color w:val="000000"/>
          <w:vertAlign w:val="superscript"/>
        </w:rPr>
        <w:t>2</w:t>
      </w:r>
      <w:r w:rsidRPr="00891557">
        <w:t xml:space="preserve">Жарков М.Ю., </w:t>
      </w:r>
      <w:r>
        <w:rPr>
          <w:color w:val="000000"/>
          <w:vertAlign w:val="superscript"/>
        </w:rPr>
        <w:t>2</w:t>
      </w:r>
      <w:r w:rsidRPr="00891557">
        <w:t xml:space="preserve">Курячий А.В., </w:t>
      </w:r>
      <w:r>
        <w:rPr>
          <w:color w:val="000000"/>
          <w:vertAlign w:val="superscript"/>
        </w:rPr>
        <w:t>2</w:t>
      </w:r>
      <w:r w:rsidRPr="00891557">
        <w:t xml:space="preserve">Люблинский И.Е.,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>Джурик А.С</w:t>
      </w:r>
      <w:r w:rsidR="00894292">
        <w:rPr>
          <w:bCs w:val="0"/>
          <w:lang w:val="en-US"/>
        </w:rPr>
        <w:t>.</w:t>
      </w:r>
      <w:r w:rsidRPr="007A76C0">
        <w:rPr>
          <w:bCs w:val="0"/>
        </w:rPr>
        <w:t>,</w:t>
      </w:r>
      <w:r w:rsidRPr="007A76C0">
        <w:rPr>
          <w:rFonts w:eastAsia="+mn-ea"/>
          <w:bCs w:val="0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>Мурачев М.М.,</w:t>
      </w:r>
      <w:r w:rsidRPr="007A76C0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>Лазарев В.Б.,</w:t>
      </w:r>
      <w:r w:rsidRPr="007A76C0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>Джигайло Н.Т.,</w:t>
      </w:r>
      <w:r w:rsidRPr="007A76C0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>Лешов Н.В.,</w:t>
      </w:r>
      <w:r w:rsidRPr="007A76C0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>Чекушин</w:t>
      </w:r>
      <w:r>
        <w:rPr>
          <w:bCs w:val="0"/>
          <w:lang w:val="en-US"/>
        </w:rPr>
        <w:t> </w:t>
      </w:r>
      <w:r w:rsidRPr="007A76C0">
        <w:rPr>
          <w:bCs w:val="0"/>
        </w:rPr>
        <w:t>Р.В.,</w:t>
      </w:r>
      <w:r w:rsidRPr="007A76C0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 xml:space="preserve">Кравчук С.И., </w:t>
      </w:r>
      <w:r w:rsidRPr="00F6764E">
        <w:rPr>
          <w:color w:val="000000"/>
          <w:vertAlign w:val="superscript"/>
        </w:rPr>
        <w:t>1</w:t>
      </w:r>
      <w:r w:rsidRPr="007A76C0">
        <w:rPr>
          <w:bCs w:val="0"/>
        </w:rPr>
        <w:t>Морозов В.А.,</w:t>
      </w:r>
      <w:r w:rsidRPr="003D59E1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3D59E1">
        <w:rPr>
          <w:bCs w:val="0"/>
        </w:rPr>
        <w:t>Антонов П.А.,</w:t>
      </w:r>
      <w:r w:rsidRPr="003D59E1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3D59E1">
        <w:rPr>
          <w:bCs w:val="0"/>
        </w:rPr>
        <w:t xml:space="preserve">Зорин А.В., </w:t>
      </w:r>
      <w:r w:rsidRPr="00F6764E">
        <w:rPr>
          <w:color w:val="000000"/>
          <w:vertAlign w:val="superscript"/>
        </w:rPr>
        <w:t>1</w:t>
      </w:r>
      <w:r w:rsidRPr="003D59E1">
        <w:rPr>
          <w:bCs w:val="0"/>
        </w:rPr>
        <w:t>Васина</w:t>
      </w:r>
      <w:r>
        <w:rPr>
          <w:bCs w:val="0"/>
          <w:lang w:val="en-US"/>
        </w:rPr>
        <w:t> </w:t>
      </w:r>
      <w:r w:rsidRPr="003D59E1">
        <w:rPr>
          <w:bCs w:val="0"/>
        </w:rPr>
        <w:t>Я.А.,</w:t>
      </w:r>
      <w:r w:rsidRPr="003D59E1">
        <w:rPr>
          <w:rFonts w:eastAsia="+mn-ea"/>
          <w:color w:val="44546A"/>
        </w:rPr>
        <w:t xml:space="preserve"> </w:t>
      </w:r>
      <w:r w:rsidRPr="00F6764E">
        <w:rPr>
          <w:color w:val="000000"/>
          <w:vertAlign w:val="superscript"/>
        </w:rPr>
        <w:t>1</w:t>
      </w:r>
      <w:r w:rsidRPr="003D59E1">
        <w:rPr>
          <w:bCs w:val="0"/>
        </w:rPr>
        <w:t>Петрова Н.П.</w:t>
      </w:r>
    </w:p>
    <w:p w:rsidR="00891557" w:rsidRPr="00891557" w:rsidRDefault="00891557" w:rsidP="00891557">
      <w:pPr>
        <w:pStyle w:val="Zv-Organization"/>
      </w:pPr>
      <w:r>
        <w:rPr>
          <w:vertAlign w:val="superscript"/>
        </w:rPr>
        <w:t>1</w:t>
      </w:r>
      <w:r w:rsidRPr="00576E00">
        <w:t xml:space="preserve">АО "ГНЦ РФ </w:t>
      </w:r>
      <w:r>
        <w:t>ТРИНИТИ</w:t>
      </w:r>
      <w:r w:rsidRPr="00576E00">
        <w:t>",</w:t>
      </w:r>
      <w:r>
        <w:t xml:space="preserve"> г</w:t>
      </w:r>
      <w:r w:rsidRPr="00576E00">
        <w:t>.</w:t>
      </w:r>
      <w:r>
        <w:t xml:space="preserve"> </w:t>
      </w:r>
      <w:r w:rsidRPr="00576E00">
        <w:t>М</w:t>
      </w:r>
      <w:r>
        <w:t>осква,</w:t>
      </w:r>
      <w:r w:rsidRPr="00576E00">
        <w:t xml:space="preserve"> </w:t>
      </w:r>
      <w:r>
        <w:t xml:space="preserve">округ </w:t>
      </w:r>
      <w:r w:rsidRPr="00576E00">
        <w:t xml:space="preserve">Троицк, Россия, </w:t>
      </w:r>
      <w:hyperlink r:id="rId8" w:history="1">
        <w:r w:rsidRPr="0030050B">
          <w:rPr>
            <w:rStyle w:val="a8"/>
          </w:rPr>
          <w:t>mirnov@triniti.ru</w:t>
        </w:r>
      </w:hyperlink>
      <w:r w:rsidRPr="00891557">
        <w:br/>
      </w:r>
      <w:r>
        <w:rPr>
          <w:color w:val="000000"/>
          <w:vertAlign w:val="superscript"/>
        </w:rPr>
        <w:t>2</w:t>
      </w:r>
      <w:r w:rsidRPr="00891557">
        <w:t>АО «Красная Звезда»,</w:t>
      </w:r>
      <w:r w:rsidRPr="00576E00">
        <w:t xml:space="preserve"> </w:t>
      </w:r>
      <w:r>
        <w:t>г. Москва,</w:t>
      </w:r>
      <w:r w:rsidRPr="00576E00">
        <w:t xml:space="preserve"> Россия</w:t>
      </w:r>
    </w:p>
    <w:p w:rsidR="00891557" w:rsidRPr="00845E6E" w:rsidRDefault="00891557" w:rsidP="00891557">
      <w:pPr>
        <w:pStyle w:val="Zv-bodyreport"/>
      </w:pPr>
      <w:r w:rsidRPr="00845E6E">
        <w:t xml:space="preserve">Использование лития для защиты внутрикамерных элементов токамака капиллярно-пористыми </w:t>
      </w:r>
      <w:r>
        <w:t>системами (КПС)</w:t>
      </w:r>
      <w:r w:rsidRPr="00845E6E">
        <w:t xml:space="preserve"> с жидким литием впервые примененное </w:t>
      </w:r>
      <w:r>
        <w:t xml:space="preserve">нами </w:t>
      </w:r>
      <w:r w:rsidRPr="00845E6E">
        <w:t>на российском токамаке Т-11М (1999</w:t>
      </w:r>
      <w:r>
        <w:t xml:space="preserve"> </w:t>
      </w:r>
      <w:r w:rsidRPr="00845E6E">
        <w:t>г)</w:t>
      </w:r>
      <w:r>
        <w:t>,</w:t>
      </w:r>
      <w:r w:rsidRPr="00845E6E">
        <w:t xml:space="preserve"> продемонстрировало важные эффекты: существенное снижение уровня </w:t>
      </w:r>
      <w:r>
        <w:t xml:space="preserve">тяжелых </w:t>
      </w:r>
      <w:r w:rsidRPr="00845E6E">
        <w:t xml:space="preserve">примесей </w:t>
      </w:r>
      <w:r>
        <w:t xml:space="preserve">в горячей водородной плазме </w:t>
      </w:r>
      <w:r w:rsidRPr="00845E6E">
        <w:t>и</w:t>
      </w:r>
      <w:r>
        <w:t>, соответственно,</w:t>
      </w:r>
      <w:r w:rsidRPr="00845E6E">
        <w:t xml:space="preserve"> </w:t>
      </w:r>
      <w:r>
        <w:t>уменьшение ее эффективного заряда</w:t>
      </w:r>
      <w:r w:rsidRPr="00845E6E">
        <w:t xml:space="preserve"> </w:t>
      </w:r>
      <w:r w:rsidRPr="00614233">
        <w:rPr>
          <w:i/>
          <w:lang w:val="en-US"/>
        </w:rPr>
        <w:t>Z</w:t>
      </w:r>
      <w:r>
        <w:rPr>
          <w:vertAlign w:val="subscript"/>
        </w:rPr>
        <w:t>эфф</w:t>
      </w:r>
      <w:r w:rsidRPr="00845E6E">
        <w:t xml:space="preserve"> до значений близких к 1, что</w:t>
      </w:r>
      <w:r>
        <w:t>, как известно,</w:t>
      </w:r>
      <w:r w:rsidRPr="00845E6E">
        <w:t xml:space="preserve"> принципиально </w:t>
      </w:r>
      <w:r w:rsidRPr="00614233">
        <w:rPr>
          <w:spacing w:val="-2"/>
        </w:rPr>
        <w:t>необходимо для нормального функционирования токамака-реактора. Эта литиевая технология,</w:t>
      </w:r>
      <w:r>
        <w:t xml:space="preserve"> развитая в результате</w:t>
      </w:r>
      <w:r w:rsidRPr="00845E6E">
        <w:t xml:space="preserve"> совместной деятел</w:t>
      </w:r>
      <w:r>
        <w:t>ьности АО «ГНЦ РФ ТРИНИТИ» и АО</w:t>
      </w:r>
      <w:r w:rsidRPr="00845E6E">
        <w:t xml:space="preserve"> «Красна</w:t>
      </w:r>
      <w:r>
        <w:t>я Звезда» на токамаке Т-11М в период 1999-2010 гг, получила продолжение - она была</w:t>
      </w:r>
      <w:r w:rsidRPr="00845E6E">
        <w:t xml:space="preserve"> успешно использована</w:t>
      </w:r>
      <w:r>
        <w:t>:</w:t>
      </w:r>
      <w:r w:rsidRPr="00845E6E">
        <w:t xml:space="preserve"> на токамаках </w:t>
      </w:r>
      <w:r w:rsidRPr="00845E6E">
        <w:rPr>
          <w:lang w:val="en-US"/>
        </w:rPr>
        <w:t>T</w:t>
      </w:r>
      <w:r w:rsidRPr="00845E6E">
        <w:t xml:space="preserve">-10, </w:t>
      </w:r>
      <w:r w:rsidRPr="00845E6E">
        <w:rPr>
          <w:lang w:val="en-US"/>
        </w:rPr>
        <w:t>FTU</w:t>
      </w:r>
      <w:r w:rsidRPr="00845E6E">
        <w:t xml:space="preserve"> (Италия), испанском стеллараторе </w:t>
      </w:r>
      <w:r w:rsidRPr="00845E6E">
        <w:rPr>
          <w:lang w:val="en-US"/>
        </w:rPr>
        <w:t>TJ</w:t>
      </w:r>
      <w:r w:rsidRPr="00845E6E">
        <w:t>-</w:t>
      </w:r>
      <w:r w:rsidRPr="00845E6E">
        <w:rPr>
          <w:lang w:val="en-US"/>
        </w:rPr>
        <w:t>II</w:t>
      </w:r>
      <w:r w:rsidRPr="00845E6E">
        <w:t xml:space="preserve"> и </w:t>
      </w:r>
      <w:r>
        <w:t>предполагает в дальнейшем использование</w:t>
      </w:r>
      <w:r w:rsidRPr="00845E6E">
        <w:t xml:space="preserve"> на </w:t>
      </w:r>
      <w:r>
        <w:t xml:space="preserve">токамаках Т-15МД и КТМ </w:t>
      </w:r>
      <w:r w:rsidRPr="00845E6E">
        <w:t xml:space="preserve">(Казахстан). </w:t>
      </w:r>
      <w:r>
        <w:t xml:space="preserve">Однако по мере этого движения и нарастающего расхода лития одно из главных технологических преимуществ принятой нами схемы – автономное литиевое питание КПС-элементов, ограничивающих контакт плазма- стенка, потребовало нового решения. </w:t>
      </w:r>
      <w:r>
        <w:br/>
        <w:t xml:space="preserve">А именно, замену их питающих бачков, изготовляемых с ними заодно, и заполняемых литием до постановки в камеру, на некое устройство, позволяющее в ходе эксперимента их дозаправку извне разрядной камеры без нарушения вакуума. Тем самым снялось бы ограничение на длительность литиевого эксперимента. Соединение такого устройства с системой сбора «лишнего лития», позволяющее его периодическое удаление без нарушения в камере вакуумных условий, могла бы обеспечить квазистационарный режим работы токамака-реактора с относительно короткими перерывами для дозаправки его литием и разгрузки. Действующая модель такого устройства была создана на базе токамака Т-11М и успешно прошла плазменные испытания. В представленной работе обсуждаются детали этого эксперимента и результаты проведенных испытаний. </w:t>
      </w:r>
    </w:p>
    <w:p w:rsidR="00654A7B" w:rsidRPr="00891557" w:rsidRDefault="00654A7B"/>
    <w:sectPr w:rsidR="00654A7B" w:rsidRPr="0089155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2A" w:rsidRDefault="0000762A">
      <w:r>
        <w:separator/>
      </w:r>
    </w:p>
  </w:endnote>
  <w:endnote w:type="continuationSeparator" w:id="0">
    <w:p w:rsidR="0000762A" w:rsidRDefault="0000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06C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6065"/>
      <w:docPartObj>
        <w:docPartGallery w:val="Page Numbers (Bottom of Page)"/>
        <w:docPartUnique/>
      </w:docPartObj>
    </w:sdtPr>
    <w:sdtContent>
      <w:p w:rsidR="00891557" w:rsidRDefault="00D106CB">
        <w:pPr>
          <w:pStyle w:val="a4"/>
          <w:jc w:val="center"/>
        </w:pPr>
        <w:fldSimple w:instr=" PAGE   \* MERGEFORMAT ">
          <w:r w:rsidR="00C844DC">
            <w:rPr>
              <w:noProof/>
            </w:rPr>
            <w:t>1</w:t>
          </w:r>
        </w:fldSimple>
        <w:r w:rsidR="00891557">
          <w:rPr>
            <w:lang w:val="en-US"/>
          </w:rPr>
          <w:t>06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2A" w:rsidRDefault="0000762A">
      <w:r>
        <w:separator/>
      </w:r>
    </w:p>
  </w:footnote>
  <w:footnote w:type="continuationSeparator" w:id="0">
    <w:p w:rsidR="0000762A" w:rsidRDefault="00007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891557">
      <w:rPr>
        <w:sz w:val="20"/>
      </w:rPr>
      <w:t>14</w:t>
    </w:r>
    <w:r w:rsidR="00C62CFE">
      <w:rPr>
        <w:sz w:val="20"/>
      </w:rPr>
      <w:t xml:space="preserve"> – </w:t>
    </w:r>
    <w:r w:rsidR="00C62CFE" w:rsidRPr="0089155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89155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106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4292"/>
    <w:rsid w:val="0000762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91557"/>
    <w:rsid w:val="00894292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44DC"/>
    <w:rsid w:val="00CA791E"/>
    <w:rsid w:val="00CE0E75"/>
    <w:rsid w:val="00D106CB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C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55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891557"/>
    <w:rPr>
      <w:sz w:val="24"/>
      <w:szCs w:val="24"/>
    </w:rPr>
  </w:style>
  <w:style w:type="character" w:styleId="a8">
    <w:name w:val="Hyperlink"/>
    <w:basedOn w:val="a0"/>
    <w:rsid w:val="008915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no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DC89D-B2FF-4B48-A961-347D5C32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300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ПЛАЗМЕННЫЕ ИСПЫТАНИЯ НА ТОКАМАКЕ Т-11М ДЕЙСТВУЮЩЕЙ МОДЕЛИ ПОЛУЗАМКНУТОГО КОНТУРА ЦИРКУЛЯЦИИ ЛИТИЯ ДЛЯ КВАЗИСТАЦИОНАРНОГО ТОКАМАКА</dc:title>
  <dc:creator/>
  <cp:lastModifiedBy>Сатунин</cp:lastModifiedBy>
  <cp:revision>3</cp:revision>
  <cp:lastPrinted>1601-01-01T00:00:00Z</cp:lastPrinted>
  <dcterms:created xsi:type="dcterms:W3CDTF">2022-02-18T11:37:00Z</dcterms:created>
  <dcterms:modified xsi:type="dcterms:W3CDTF">2022-03-24T13:14:00Z</dcterms:modified>
</cp:coreProperties>
</file>