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FC" w:rsidRPr="00BE6A8D" w:rsidRDefault="003E61FC" w:rsidP="00BE6A8D">
      <w:pPr>
        <w:pStyle w:val="Zv-Titlereport"/>
        <w:spacing w:line="238" w:lineRule="auto"/>
      </w:pPr>
      <w:r w:rsidRPr="00573C6B">
        <w:t>Сравнение моделирования переноса в плазме с ЭЦ</w:t>
      </w:r>
      <w:r>
        <w:t>Р</w:t>
      </w:r>
      <w:r w:rsidRPr="00573C6B">
        <w:t xml:space="preserve">-нагревом в стеллараторе TJ-II и </w:t>
      </w:r>
      <w:r>
        <w:t xml:space="preserve">В </w:t>
      </w:r>
      <w:r w:rsidRPr="00573C6B">
        <w:t>токамаке T-10</w:t>
      </w:r>
      <w:r w:rsidR="00BE6A8D" w:rsidRPr="00BE6A8D">
        <w:t xml:space="preserve"> </w:t>
      </w:r>
      <w:r w:rsidR="00BE6A8D">
        <w:rPr>
          <w:rStyle w:val="ac"/>
        </w:rPr>
        <w:footnoteReference w:customMarkFollows="1" w:id="1"/>
        <w:t>*)</w:t>
      </w:r>
    </w:p>
    <w:p w:rsidR="003E61FC" w:rsidRDefault="003E61FC" w:rsidP="00BE6A8D">
      <w:pPr>
        <w:pStyle w:val="Zv-Author"/>
        <w:spacing w:line="238" w:lineRule="auto"/>
      </w:pPr>
      <w:r w:rsidRPr="00637DE1">
        <w:rPr>
          <w:vertAlign w:val="superscript"/>
        </w:rPr>
        <w:t>1</w:t>
      </w:r>
      <w:r w:rsidRPr="00637DE1">
        <w:t>Днестровский</w:t>
      </w:r>
      <w:r w:rsidRPr="003E61FC">
        <w:t xml:space="preserve"> </w:t>
      </w:r>
      <w:r w:rsidRPr="00637DE1">
        <w:t xml:space="preserve">Ю.Н., </w:t>
      </w:r>
      <w:r w:rsidRPr="00637DE1">
        <w:rPr>
          <w:vertAlign w:val="superscript"/>
        </w:rPr>
        <w:t>1,2</w:t>
      </w:r>
      <w:r w:rsidRPr="00637DE1">
        <w:t>Мельников</w:t>
      </w:r>
      <w:r w:rsidRPr="003E61FC">
        <w:t xml:space="preserve"> </w:t>
      </w:r>
      <w:r w:rsidRPr="00637DE1">
        <w:t xml:space="preserve">А.В., </w:t>
      </w:r>
      <w:r w:rsidRPr="00637DE1">
        <w:rPr>
          <w:vertAlign w:val="superscript"/>
        </w:rPr>
        <w:t>3</w:t>
      </w:r>
      <w:r w:rsidRPr="00637DE1">
        <w:t>Лопес-Бруна</w:t>
      </w:r>
      <w:r w:rsidRPr="003E61FC">
        <w:t xml:space="preserve"> </w:t>
      </w:r>
      <w:r w:rsidRPr="00637DE1">
        <w:t xml:space="preserve">Д., </w:t>
      </w:r>
      <w:r w:rsidRPr="00637DE1">
        <w:rPr>
          <w:vertAlign w:val="superscript"/>
        </w:rPr>
        <w:t>3</w:t>
      </w:r>
      <w:r w:rsidRPr="00637DE1">
        <w:t>Пастор</w:t>
      </w:r>
      <w:r w:rsidRPr="003E61FC">
        <w:t xml:space="preserve"> </w:t>
      </w:r>
      <w:r w:rsidRPr="00637DE1">
        <w:t xml:space="preserve">И., </w:t>
      </w:r>
      <w:r w:rsidRPr="00637DE1">
        <w:rPr>
          <w:vertAlign w:val="superscript"/>
        </w:rPr>
        <w:t>1</w:t>
      </w:r>
      <w:r w:rsidRPr="00637DE1">
        <w:t>Днестровский</w:t>
      </w:r>
      <w:r>
        <w:rPr>
          <w:lang w:val="en-US"/>
        </w:rPr>
        <w:t> </w:t>
      </w:r>
      <w:r w:rsidRPr="00637DE1">
        <w:t xml:space="preserve">А.Ю., </w:t>
      </w:r>
      <w:r w:rsidRPr="00637DE1">
        <w:rPr>
          <w:vertAlign w:val="superscript"/>
        </w:rPr>
        <w:t>1</w:t>
      </w:r>
      <w:r w:rsidRPr="00637DE1">
        <w:t>Черкасов</w:t>
      </w:r>
      <w:r w:rsidRPr="003E61FC">
        <w:t xml:space="preserve"> </w:t>
      </w:r>
      <w:r w:rsidRPr="00637DE1">
        <w:t xml:space="preserve">С.В., </w:t>
      </w:r>
      <w:r w:rsidRPr="00637DE1">
        <w:rPr>
          <w:vertAlign w:val="superscript"/>
        </w:rPr>
        <w:t>1</w:t>
      </w:r>
      <w:r w:rsidRPr="00637DE1">
        <w:t>Данилов</w:t>
      </w:r>
      <w:r w:rsidRPr="003E61FC">
        <w:t xml:space="preserve"> </w:t>
      </w:r>
      <w:r w:rsidRPr="00637DE1">
        <w:t xml:space="preserve">А.В., </w:t>
      </w:r>
      <w:r w:rsidRPr="00637DE1">
        <w:rPr>
          <w:vertAlign w:val="superscript"/>
        </w:rPr>
        <w:t>1</w:t>
      </w:r>
      <w:r w:rsidRPr="00637DE1">
        <w:t>Елисеев</w:t>
      </w:r>
      <w:r w:rsidRPr="003E61FC">
        <w:t xml:space="preserve"> </w:t>
      </w:r>
      <w:r w:rsidRPr="00637DE1">
        <w:t xml:space="preserve">Л.Г., </w:t>
      </w:r>
      <w:r w:rsidRPr="00637DE1">
        <w:rPr>
          <w:vertAlign w:val="superscript"/>
        </w:rPr>
        <w:t>1</w:t>
      </w:r>
      <w:r w:rsidRPr="00637DE1">
        <w:t>Хабанов</w:t>
      </w:r>
      <w:r w:rsidRPr="003E61FC">
        <w:t xml:space="preserve"> </w:t>
      </w:r>
      <w:r w:rsidRPr="00637DE1">
        <w:t xml:space="preserve">Ф.О., </w:t>
      </w:r>
      <w:r w:rsidRPr="00637DE1">
        <w:rPr>
          <w:vertAlign w:val="superscript"/>
        </w:rPr>
        <w:t>1</w:t>
      </w:r>
      <w:r w:rsidRPr="00637DE1">
        <w:t>Лысенко</w:t>
      </w:r>
      <w:r w:rsidRPr="003E61FC">
        <w:t xml:space="preserve"> </w:t>
      </w:r>
      <w:r w:rsidRPr="00637DE1">
        <w:t xml:space="preserve">С.Е., </w:t>
      </w:r>
      <w:r w:rsidRPr="00637DE1">
        <w:rPr>
          <w:vertAlign w:val="superscript"/>
        </w:rPr>
        <w:t>4</w:t>
      </w:r>
      <w:r w:rsidRPr="00637DE1">
        <w:t>Сычугов</w:t>
      </w:r>
      <w:r w:rsidRPr="003E61FC">
        <w:t xml:space="preserve"> </w:t>
      </w:r>
      <w:r w:rsidRPr="00637DE1">
        <w:t>Д.Ю.</w:t>
      </w:r>
    </w:p>
    <w:p w:rsidR="003E61FC" w:rsidRDefault="003E61FC" w:rsidP="00BE6A8D">
      <w:pPr>
        <w:pStyle w:val="Zv-Organization"/>
        <w:spacing w:line="238" w:lineRule="auto"/>
      </w:pPr>
      <w:r w:rsidRPr="00637DE1">
        <w:rPr>
          <w:bCs/>
          <w:iCs/>
          <w:vertAlign w:val="superscript"/>
        </w:rPr>
        <w:t>1</w:t>
      </w:r>
      <w:r w:rsidRPr="00637DE1">
        <w:t xml:space="preserve">НИЦ </w:t>
      </w:r>
      <w:r w:rsidRPr="003E61FC">
        <w:t>“</w:t>
      </w:r>
      <w:r w:rsidRPr="00637DE1">
        <w:t>Курчатовский институт</w:t>
      </w:r>
      <w:r w:rsidRPr="003E61FC">
        <w:t>”</w:t>
      </w:r>
      <w:r>
        <w:t>,</w:t>
      </w:r>
      <w:r w:rsidRPr="003E61FC">
        <w:t xml:space="preserve"> </w:t>
      </w:r>
      <w:r>
        <w:t xml:space="preserve">Москва, Россия, </w:t>
      </w:r>
      <w:r w:rsidRPr="00637DE1">
        <w:t xml:space="preserve">e-mail: </w:t>
      </w:r>
      <w:hyperlink r:id="rId8" w:history="1">
        <w:r w:rsidRPr="000445DB">
          <w:rPr>
            <w:rStyle w:val="a8"/>
          </w:rPr>
          <w:t>Dnestrovskiy_YN@nrcki.ru</w:t>
        </w:r>
      </w:hyperlink>
      <w:r>
        <w:t xml:space="preserve"> </w:t>
      </w:r>
      <w:r>
        <w:br/>
      </w:r>
      <w:r w:rsidRPr="00637DE1">
        <w:rPr>
          <w:vertAlign w:val="superscript"/>
        </w:rPr>
        <w:t>2</w:t>
      </w:r>
      <w:r w:rsidRPr="00637DE1">
        <w:t>НИЯУ МИФИ</w:t>
      </w:r>
      <w:r w:rsidRPr="003E61FC">
        <w:t>”</w:t>
      </w:r>
      <w:r>
        <w:t>,</w:t>
      </w:r>
      <w:r w:rsidRPr="003E61FC">
        <w:t xml:space="preserve"> </w:t>
      </w:r>
      <w:r>
        <w:t>Москва, Россия</w:t>
      </w:r>
      <w:r>
        <w:br/>
      </w:r>
      <w:r w:rsidRPr="00637DE1">
        <w:rPr>
          <w:vertAlign w:val="superscript"/>
        </w:rPr>
        <w:t>3</w:t>
      </w:r>
      <w:r w:rsidRPr="00637DE1">
        <w:t>Laboratorio Nacional de Fusion, CIEMAT, Madrid, Spain</w:t>
      </w:r>
      <w:r>
        <w:br/>
      </w:r>
      <w:r w:rsidRPr="00637DE1">
        <w:rPr>
          <w:vertAlign w:val="superscript"/>
        </w:rPr>
        <w:t>4</w:t>
      </w:r>
      <w:r w:rsidRPr="00637DE1">
        <w:t xml:space="preserve">МГУ им. М.В. Ломоносова, </w:t>
      </w:r>
      <w:r>
        <w:t xml:space="preserve">ВМК, </w:t>
      </w:r>
      <w:r w:rsidRPr="00637DE1">
        <w:t>Москва, Россия</w:t>
      </w:r>
    </w:p>
    <w:p w:rsidR="003E61FC" w:rsidRDefault="003E61FC" w:rsidP="00BE6A8D">
      <w:pPr>
        <w:pStyle w:val="Zv-bodyreport"/>
        <w:spacing w:line="238" w:lineRule="auto"/>
      </w:pPr>
      <w:r w:rsidRPr="006C7A97">
        <w:t>Концепция эквивалентных разрядов токамака и стелларатора, имеющих одинаковые температуры электронов и ионов, введенная в [1] при одной и той же полностью поглощенной мощности ЭЦ</w:t>
      </w:r>
      <w:r>
        <w:t>РН (</w:t>
      </w:r>
      <w:r w:rsidRPr="006C7A97">
        <w:t>нагрева</w:t>
      </w:r>
      <w:r>
        <w:t xml:space="preserve"> на электронно-циклотронном резонансе)</w:t>
      </w:r>
      <w:r w:rsidRPr="006C7A97">
        <w:t>, расширена на случай частичного поглощения ЭЦ-мощности. Сформулированы условия эквивалентности разрядов для этого случая. Рассмотрены примеры эквивалентных экспериментальных разрядов стелларатора TJ-II и смоделированных разрядов токамака Т-10 для частичного поглощения ЭЦ-мощности, и определено значение поглощенной мощности. Показано, что температура электронов и поглощенная мощность в эквивалентных разрядах совпадают. Для серии разрядов TJ-II с низкой плотност</w:t>
      </w:r>
      <w:r>
        <w:t>ью</w:t>
      </w:r>
      <w:r w:rsidRPr="006C7A97">
        <w:t xml:space="preserve"> и чистым ЭЦР-нагрев</w:t>
      </w:r>
      <w:r>
        <w:t>ом</w:t>
      </w:r>
      <w:r w:rsidRPr="006C7A97">
        <w:t xml:space="preserve"> найдена поглощенная мощность и время удержания энергии.</w:t>
      </w:r>
    </w:p>
    <w:p w:rsidR="003E61FC" w:rsidRDefault="003E61FC" w:rsidP="00BE6A8D">
      <w:pPr>
        <w:pStyle w:val="Zv-bodyreport"/>
        <w:spacing w:line="238" w:lineRule="auto"/>
      </w:pPr>
      <w:r w:rsidRPr="00F55777">
        <w:t xml:space="preserve">На рис.1 показана зависимость эффективности поглощения </w:t>
      </w:r>
      <w:r w:rsidRPr="00F55777">
        <w:sym w:font="Symbol" w:char="F068"/>
      </w:r>
      <w:r w:rsidRPr="00F55777">
        <w:t xml:space="preserve"> = </w:t>
      </w:r>
      <w:r w:rsidRPr="00F55777">
        <w:rPr>
          <w:i/>
          <w:lang w:val="en-US"/>
        </w:rPr>
        <w:t>Q</w:t>
      </w:r>
      <w:r w:rsidRPr="00F55777">
        <w:rPr>
          <w:vertAlign w:val="subscript"/>
          <w:lang w:val="en-US"/>
        </w:rPr>
        <w:t>ab</w:t>
      </w:r>
      <w:r w:rsidRPr="00F55777">
        <w:t>/</w:t>
      </w:r>
      <w:r w:rsidRPr="00F55777">
        <w:rPr>
          <w:i/>
          <w:lang w:val="en-US"/>
        </w:rPr>
        <w:t>Q</w:t>
      </w:r>
      <w:r w:rsidRPr="00F55777">
        <w:rPr>
          <w:vertAlign w:val="subscript"/>
          <w:lang w:val="en-US"/>
        </w:rPr>
        <w:t>EC</w:t>
      </w:r>
      <w:r w:rsidRPr="00F55777">
        <w:t xml:space="preserve"> (</w:t>
      </w:r>
      <w:r w:rsidRPr="00F55777">
        <w:rPr>
          <w:i/>
          <w:lang w:val="en-US"/>
        </w:rPr>
        <w:t>Q</w:t>
      </w:r>
      <w:r w:rsidRPr="00F55777">
        <w:rPr>
          <w:vertAlign w:val="subscript"/>
          <w:lang w:val="en-US"/>
        </w:rPr>
        <w:t>ab</w:t>
      </w:r>
      <w:r w:rsidRPr="00F55777">
        <w:t xml:space="preserve"> и </w:t>
      </w:r>
      <w:r w:rsidRPr="00F55777">
        <w:rPr>
          <w:i/>
          <w:lang w:val="en-US"/>
        </w:rPr>
        <w:t>Q</w:t>
      </w:r>
      <w:r w:rsidRPr="00F55777">
        <w:rPr>
          <w:vertAlign w:val="subscript"/>
          <w:lang w:val="en-US"/>
        </w:rPr>
        <w:t>EC</w:t>
      </w:r>
      <w:r w:rsidRPr="00F55777">
        <w:t xml:space="preserve"> </w:t>
      </w:r>
      <w:r>
        <w:sym w:font="Symbol" w:char="F02D"/>
      </w:r>
      <w:r>
        <w:t xml:space="preserve"> п</w:t>
      </w:r>
      <w:r w:rsidRPr="00F55777">
        <w:t xml:space="preserve">оглощенная и введенная мощность) в Т-10 и TJ-II как функция отношения плотности </w:t>
      </w:r>
      <w:r w:rsidRPr="00F55777">
        <w:rPr>
          <w:i/>
          <w:lang w:val="en-US"/>
        </w:rPr>
        <w:t>n</w:t>
      </w:r>
      <w:r w:rsidRPr="003E61FC">
        <w:t xml:space="preserve"> </w:t>
      </w:r>
      <w:r w:rsidRPr="00F55777">
        <w:t>к</w:t>
      </w:r>
      <w:r>
        <w:t xml:space="preserve"> основному магнитному полю</w:t>
      </w:r>
      <w:r w:rsidRPr="003E61FC">
        <w:t xml:space="preserve"> </w:t>
      </w:r>
      <w:r w:rsidRPr="006C7A97">
        <w:rPr>
          <w:i/>
          <w:lang w:val="en-US"/>
        </w:rPr>
        <w:t>B</w:t>
      </w:r>
      <w:r>
        <w:rPr>
          <w:i/>
        </w:rPr>
        <w:t xml:space="preserve">, </w:t>
      </w:r>
      <w:r w:rsidRPr="006C7A97">
        <w:t>что</w:t>
      </w:r>
      <w:r>
        <w:t xml:space="preserve"> позволяет привести данные Т-10 (сплошная линия и квадраты, поле </w:t>
      </w:r>
      <w:r w:rsidRPr="006C7A97">
        <w:rPr>
          <w:i/>
          <w:lang w:val="en-US"/>
        </w:rPr>
        <w:t>B</w:t>
      </w:r>
      <w:r w:rsidRPr="006C7A97">
        <w:t>=2.5 Тл) к</w:t>
      </w:r>
      <w:r>
        <w:rPr>
          <w:i/>
        </w:rPr>
        <w:t xml:space="preserve"> </w:t>
      </w:r>
      <w:r w:rsidRPr="006C7A97">
        <w:t>TJ-II</w:t>
      </w:r>
      <w:r>
        <w:t xml:space="preserve"> (</w:t>
      </w:r>
      <w:r w:rsidRPr="006C7A97">
        <w:rPr>
          <w:i/>
          <w:lang w:val="en-US"/>
        </w:rPr>
        <w:t>B</w:t>
      </w:r>
      <w:r w:rsidRPr="006C7A97">
        <w:t>=</w:t>
      </w:r>
      <w:r>
        <w:t>1</w:t>
      </w:r>
      <w:r w:rsidRPr="006C7A97">
        <w:t xml:space="preserve"> Тл)</w:t>
      </w:r>
      <w:r>
        <w:t xml:space="preserve">. Тонким штрих-пунктиром показаны расчеты эффективности в </w:t>
      </w:r>
      <w:r w:rsidRPr="006C7A97">
        <w:t>TJ-II</w:t>
      </w:r>
      <w:r>
        <w:t xml:space="preserve"> по формулам, выведенным в </w:t>
      </w:r>
      <w:r w:rsidRPr="006C7A97">
        <w:t>[1]</w:t>
      </w:r>
      <w:r>
        <w:t>, толстым пунктиром – по новым формулам. Видно, что расчеты хорошо согласуются с экспериментами.</w:t>
      </w:r>
    </w:p>
    <w:tbl>
      <w:tblPr>
        <w:tblStyle w:val="a9"/>
        <w:tblW w:w="95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30"/>
        <w:gridCol w:w="2696"/>
      </w:tblGrid>
      <w:tr w:rsidR="003E61FC" w:rsidTr="002C2842">
        <w:trPr>
          <w:jc w:val="center"/>
        </w:trPr>
        <w:tc>
          <w:tcPr>
            <w:tcW w:w="6830" w:type="dxa"/>
          </w:tcPr>
          <w:p w:rsidR="003E61FC" w:rsidRDefault="003E61FC" w:rsidP="00BE6A8D">
            <w:pPr>
              <w:pStyle w:val="Zv-bodyreport"/>
              <w:spacing w:line="238" w:lineRule="auto"/>
              <w:ind w:firstLine="0"/>
              <w:jc w:val="lef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4076700" cy="2905463"/>
                  <wp:effectExtent l="19050" t="0" r="0" b="0"/>
                  <wp:docPr id="1" name="Рисунок 0" descr="fig_zv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_zv.t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8404" cy="290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  <w:vAlign w:val="bottom"/>
          </w:tcPr>
          <w:p w:rsidR="003E61FC" w:rsidRPr="003E61FC" w:rsidRDefault="003E61FC" w:rsidP="00BE6A8D">
            <w:pPr>
              <w:pStyle w:val="Zv-bodyreport"/>
              <w:spacing w:line="238" w:lineRule="auto"/>
              <w:ind w:firstLine="0"/>
              <w:jc w:val="left"/>
            </w:pPr>
            <w:r>
              <w:t xml:space="preserve">Рис. 1. Зависимость эффективности ЭЦР-нагрева от приведенной плотности в токамаке </w:t>
            </w:r>
            <w:r>
              <w:rPr>
                <w:lang w:val="en-US"/>
              </w:rPr>
              <w:t>T</w:t>
            </w:r>
            <w:r w:rsidRPr="003E61FC">
              <w:t>-10</w:t>
            </w:r>
            <w:r>
              <w:t xml:space="preserve"> (сплошная линия) и в стеллараторе </w:t>
            </w:r>
            <w:r>
              <w:rPr>
                <w:lang w:val="en-US"/>
              </w:rPr>
              <w:t>TJ</w:t>
            </w:r>
            <w:r w:rsidRPr="003E61FC">
              <w:t>-</w:t>
            </w:r>
            <w:r>
              <w:rPr>
                <w:lang w:val="en-US"/>
              </w:rPr>
              <w:t>II</w:t>
            </w:r>
            <w:r>
              <w:t>. Точки –</w:t>
            </w:r>
            <w:r w:rsidRPr="003E61FC">
              <w:t xml:space="preserve"> </w:t>
            </w:r>
            <w:r>
              <w:t>эксперименты, тонкий штрих</w:t>
            </w:r>
            <w:r w:rsidRPr="003E61FC">
              <w:t>-</w:t>
            </w:r>
            <w:r>
              <w:t xml:space="preserve">пунктир </w:t>
            </w:r>
            <w:r>
              <w:sym w:font="Symbol" w:char="F02D"/>
            </w:r>
            <w:r>
              <w:t xml:space="preserve"> расчеты для </w:t>
            </w:r>
            <w:r>
              <w:rPr>
                <w:lang w:val="en-US"/>
              </w:rPr>
              <w:t>TJ</w:t>
            </w:r>
            <w:r w:rsidRPr="003E61FC">
              <w:t>-</w:t>
            </w:r>
            <w:r>
              <w:rPr>
                <w:lang w:val="en-US"/>
              </w:rPr>
              <w:t>II</w:t>
            </w:r>
            <w:r w:rsidRPr="003E61FC">
              <w:t xml:space="preserve"> </w:t>
            </w:r>
            <w:r>
              <w:t xml:space="preserve">по формулам из </w:t>
            </w:r>
            <w:r w:rsidRPr="003E61FC">
              <w:t xml:space="preserve">[1], </w:t>
            </w:r>
            <w:r>
              <w:t>толстый пунктир</w:t>
            </w:r>
            <w:r w:rsidRPr="003E61FC">
              <w:t xml:space="preserve"> – </w:t>
            </w:r>
            <w:r>
              <w:t>расчеты по новым формулам</w:t>
            </w:r>
            <w:r w:rsidRPr="003E61FC">
              <w:t>.</w:t>
            </w:r>
            <w:r>
              <w:t xml:space="preserve"> </w:t>
            </w:r>
          </w:p>
        </w:tc>
      </w:tr>
    </w:tbl>
    <w:p w:rsidR="003E61FC" w:rsidRPr="00231815" w:rsidRDefault="003E61FC" w:rsidP="00BE6A8D">
      <w:pPr>
        <w:pStyle w:val="Zv-bodyreport"/>
        <w:spacing w:line="238" w:lineRule="auto"/>
        <w:rPr>
          <w:sz w:val="18"/>
          <w:szCs w:val="18"/>
        </w:rPr>
      </w:pPr>
    </w:p>
    <w:p w:rsidR="003E61FC" w:rsidRPr="006C7A97" w:rsidRDefault="003E61FC" w:rsidP="00BE6A8D">
      <w:pPr>
        <w:pStyle w:val="Zv-bodyreport"/>
        <w:spacing w:line="238" w:lineRule="auto"/>
      </w:pPr>
      <w:r>
        <w:t xml:space="preserve">Работа Курчатовской группа поддержана РНФ, проект 19-22-00312, ЮНД и ДЮС поддержаны РФФИ, грант </w:t>
      </w:r>
      <w:r w:rsidRPr="003E61FC">
        <w:t>20-07-00391</w:t>
      </w:r>
      <w:r>
        <w:t>.</w:t>
      </w:r>
    </w:p>
    <w:p w:rsidR="003E61FC" w:rsidRDefault="003E61FC" w:rsidP="00BE6A8D">
      <w:pPr>
        <w:pStyle w:val="Zv-TitleReferences-ru"/>
        <w:spacing w:line="238" w:lineRule="auto"/>
      </w:pPr>
      <w:r>
        <w:t>Литература</w:t>
      </w:r>
    </w:p>
    <w:p w:rsidR="003E61FC" w:rsidRPr="006C7A97" w:rsidRDefault="003E61FC" w:rsidP="00BE6A8D">
      <w:pPr>
        <w:pStyle w:val="Zv-References-ru"/>
        <w:numPr>
          <w:ilvl w:val="0"/>
          <w:numId w:val="1"/>
        </w:numPr>
        <w:spacing w:line="238" w:lineRule="auto"/>
      </w:pPr>
      <w:r w:rsidRPr="003E61FC">
        <w:rPr>
          <w:lang w:val="en-US"/>
        </w:rPr>
        <w:t xml:space="preserve">Dnestrovskij Yu. N. et al. </w:t>
      </w:r>
      <w:r w:rsidRPr="006C7A97">
        <w:t xml:space="preserve">Plasma Phys. Control. Fusion 63 </w:t>
      </w:r>
      <w:r>
        <w:t xml:space="preserve">(2021) </w:t>
      </w:r>
      <w:r w:rsidRPr="006C7A97">
        <w:t>055012</w:t>
      </w:r>
      <w:r>
        <w:t>.</w:t>
      </w:r>
    </w:p>
    <w:sectPr w:rsidR="003E61FC" w:rsidRPr="006C7A97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981" w:rsidRDefault="00632981">
      <w:r>
        <w:separator/>
      </w:r>
    </w:p>
  </w:endnote>
  <w:endnote w:type="continuationSeparator" w:id="0">
    <w:p w:rsidR="00632981" w:rsidRDefault="00632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9243E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02688"/>
      <w:docPartObj>
        <w:docPartGallery w:val="Page Numbers (Bottom of Page)"/>
        <w:docPartUnique/>
      </w:docPartObj>
    </w:sdtPr>
    <w:sdtContent>
      <w:p w:rsidR="00422C5D" w:rsidRDefault="00422C5D">
        <w:pPr>
          <w:pStyle w:val="a4"/>
          <w:jc w:val="center"/>
        </w:pPr>
        <w:r>
          <w:rPr>
            <w:lang w:val="en-US"/>
          </w:rPr>
          <w:t>6</w:t>
        </w:r>
        <w:fldSimple w:instr=" PAGE   \* MERGEFORMAT ">
          <w:r w:rsidR="00D90ED6">
            <w:rPr>
              <w:noProof/>
            </w:rPr>
            <w:t>1</w:t>
          </w:r>
        </w:fldSimple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981" w:rsidRDefault="00632981">
      <w:r>
        <w:separator/>
      </w:r>
    </w:p>
  </w:footnote>
  <w:footnote w:type="continuationSeparator" w:id="0">
    <w:p w:rsidR="00632981" w:rsidRDefault="00632981">
      <w:r>
        <w:continuationSeparator/>
      </w:r>
    </w:p>
  </w:footnote>
  <w:footnote w:id="1">
    <w:p w:rsidR="00BE6A8D" w:rsidRPr="00BE6A8D" w:rsidRDefault="00BE6A8D">
      <w:pPr>
        <w:pStyle w:val="aa"/>
        <w:rPr>
          <w:lang w:val="en-US"/>
        </w:rPr>
      </w:pPr>
      <w:r>
        <w:rPr>
          <w:rStyle w:val="ac"/>
        </w:rPr>
        <w:t>*)</w:t>
      </w:r>
      <w:r>
        <w:t xml:space="preserve"> </w:t>
      </w:r>
      <w:r w:rsidRPr="00BE6A8D">
        <w:t xml:space="preserve"> </w:t>
      </w:r>
      <w:hyperlink r:id="rId1" w:history="1">
        <w:r w:rsidRPr="00BE6A8D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3E61FC">
      <w:rPr>
        <w:sz w:val="20"/>
      </w:rPr>
      <w:t>14</w:t>
    </w:r>
    <w:r w:rsidR="00C62CFE">
      <w:rPr>
        <w:sz w:val="20"/>
      </w:rPr>
      <w:t xml:space="preserve"> – </w:t>
    </w:r>
    <w:r w:rsidR="00C62CFE" w:rsidRPr="003E61FC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3E61FC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59243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2C5D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E61FC"/>
    <w:rsid w:val="00401388"/>
    <w:rsid w:val="00422C5D"/>
    <w:rsid w:val="00446025"/>
    <w:rsid w:val="00447ABC"/>
    <w:rsid w:val="004A77D1"/>
    <w:rsid w:val="004B72AA"/>
    <w:rsid w:val="004F4E29"/>
    <w:rsid w:val="00567C6F"/>
    <w:rsid w:val="00572013"/>
    <w:rsid w:val="0058676C"/>
    <w:rsid w:val="0059243E"/>
    <w:rsid w:val="00617E8E"/>
    <w:rsid w:val="00632981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1F2F"/>
    <w:rsid w:val="008E2894"/>
    <w:rsid w:val="009352E6"/>
    <w:rsid w:val="0094721E"/>
    <w:rsid w:val="00A66876"/>
    <w:rsid w:val="00A71613"/>
    <w:rsid w:val="00AB3459"/>
    <w:rsid w:val="00AC13D6"/>
    <w:rsid w:val="00AD7670"/>
    <w:rsid w:val="00B622ED"/>
    <w:rsid w:val="00B9584E"/>
    <w:rsid w:val="00BD05EF"/>
    <w:rsid w:val="00BE6A8D"/>
    <w:rsid w:val="00C103CD"/>
    <w:rsid w:val="00C232A0"/>
    <w:rsid w:val="00C62CFE"/>
    <w:rsid w:val="00C83EB3"/>
    <w:rsid w:val="00CA791E"/>
    <w:rsid w:val="00CE0E75"/>
    <w:rsid w:val="00D47F19"/>
    <w:rsid w:val="00D90ED6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1F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uiPriority w:val="99"/>
    <w:rsid w:val="003E61FC"/>
    <w:rPr>
      <w:color w:val="0000FF" w:themeColor="hyperlink"/>
      <w:u w:val="single"/>
    </w:rPr>
  </w:style>
  <w:style w:type="table" w:styleId="a9">
    <w:name w:val="Table Grid"/>
    <w:basedOn w:val="a1"/>
    <w:rsid w:val="003E6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uiPriority w:val="99"/>
    <w:rsid w:val="00422C5D"/>
    <w:rPr>
      <w:sz w:val="24"/>
      <w:szCs w:val="24"/>
    </w:rPr>
  </w:style>
  <w:style w:type="paragraph" w:styleId="aa">
    <w:name w:val="footnote text"/>
    <w:basedOn w:val="a"/>
    <w:link w:val="ab"/>
    <w:rsid w:val="00BE6A8D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BE6A8D"/>
  </w:style>
  <w:style w:type="character" w:styleId="ac">
    <w:name w:val="footnote reference"/>
    <w:basedOn w:val="a0"/>
    <w:rsid w:val="00BE6A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estrovskiy_YN@nrck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AB-Dnestrovskii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34541-729F-4519-A6BC-54AA8FF2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10</TotalTime>
  <Pages>1</Pages>
  <Words>286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СРАВНЕНИЕ МОДЕЛИРОВАНИЯ ПЕРЕНОСА В ПЛАЗМЕ С ЭЦР-НАГРЕВОМ В СТЕЛЛАРАТОРЕ TJ-II И В ТОКАМАКЕ T-10</dc:title>
  <dc:creator/>
  <cp:lastModifiedBy>Сатунин</cp:lastModifiedBy>
  <cp:revision>5</cp:revision>
  <cp:lastPrinted>1601-01-01T00:00:00Z</cp:lastPrinted>
  <dcterms:created xsi:type="dcterms:W3CDTF">2022-02-17T16:16:00Z</dcterms:created>
  <dcterms:modified xsi:type="dcterms:W3CDTF">2022-03-24T13:01:00Z</dcterms:modified>
</cp:coreProperties>
</file>