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19" w:rsidRPr="00D004CD" w:rsidRDefault="00DE6F70" w:rsidP="00DE6F70">
      <w:pPr>
        <w:pStyle w:val="Zv-Titlereport"/>
        <w:spacing w:line="230" w:lineRule="auto"/>
        <w:rPr>
          <w:lang w:val="en-US"/>
        </w:rPr>
      </w:pPr>
      <w:r w:rsidRPr="00DE6F7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E6F70" w:rsidRPr="0095603D" w:rsidRDefault="00DE6F70" w:rsidP="003B6459">
                  <w:pPr>
                    <w:spacing w:before="80"/>
                    <w:rPr>
                      <w:sz w:val="22"/>
                      <w:szCs w:val="22"/>
                    </w:rPr>
                  </w:pPr>
                  <w:r w:rsidRPr="0095603D">
                    <w:rPr>
                      <w:sz w:val="22"/>
                      <w:szCs w:val="22"/>
                    </w:rPr>
                    <w:t>DOI:</w:t>
                  </w:r>
                  <w:r>
                    <w:rPr>
                      <w:sz w:val="22"/>
                      <w:szCs w:val="22"/>
                    </w:rPr>
                    <w:t xml:space="preserve"> </w:t>
                  </w:r>
                  <w:r w:rsidRPr="00DE6F70">
                    <w:rPr>
                      <w:sz w:val="22"/>
                      <w:szCs w:val="22"/>
                    </w:rPr>
                    <w:t>10.34854/ICPAF.2022.49.1.058</w:t>
                  </w:r>
                </w:p>
              </w:txbxContent>
            </v:textbox>
            <w10:anchorlock/>
          </v:shape>
        </w:pict>
      </w:r>
      <w:r w:rsidR="007F5719">
        <w:rPr>
          <w:lang w:val="en-US"/>
        </w:rPr>
        <w:t>Hybrid</w:t>
      </w:r>
      <w:r w:rsidR="007F5719" w:rsidRPr="00D004CD">
        <w:rPr>
          <w:lang w:val="en-US"/>
        </w:rPr>
        <w:t xml:space="preserve"> “</w:t>
      </w:r>
      <w:r w:rsidR="007F5719">
        <w:rPr>
          <w:lang w:val="en-US"/>
        </w:rPr>
        <w:t>fusion</w:t>
      </w:r>
      <w:r w:rsidR="007F5719" w:rsidRPr="00D004CD">
        <w:rPr>
          <w:lang w:val="en-US"/>
        </w:rPr>
        <w:t>-</w:t>
      </w:r>
      <w:r w:rsidR="007F5719">
        <w:rPr>
          <w:lang w:val="en-US"/>
        </w:rPr>
        <w:t>fission</w:t>
      </w:r>
      <w:r w:rsidR="007F5719" w:rsidRPr="00D004CD">
        <w:rPr>
          <w:lang w:val="en-US"/>
        </w:rPr>
        <w:t>”</w:t>
      </w:r>
      <w:r w:rsidR="007F5719">
        <w:rPr>
          <w:lang w:val="en-US"/>
        </w:rPr>
        <w:t xml:space="preserve"> reactor facility</w:t>
      </w:r>
      <w:r w:rsidR="007F5719" w:rsidRPr="00D004CD">
        <w:rPr>
          <w:lang w:val="en-US"/>
        </w:rPr>
        <w:t>:</w:t>
      </w:r>
      <w:r w:rsidR="007F5719">
        <w:rPr>
          <w:lang w:val="en-US"/>
        </w:rPr>
        <w:t xml:space="preserve"> </w:t>
      </w:r>
      <w:r w:rsidR="007F5719" w:rsidRPr="00D004CD">
        <w:rPr>
          <w:lang w:val="en-US"/>
        </w:rPr>
        <w:t>C</w:t>
      </w:r>
      <w:r w:rsidR="007F5719" w:rsidRPr="00CE3EA2">
        <w:rPr>
          <w:lang w:val="en-US"/>
        </w:rPr>
        <w:t>F</w:t>
      </w:r>
      <w:r w:rsidR="007F5719">
        <w:rPr>
          <w:lang w:val="en-US"/>
        </w:rPr>
        <w:t>D</w:t>
      </w:r>
      <w:r w:rsidR="007F5719" w:rsidRPr="00D004CD">
        <w:rPr>
          <w:lang w:val="en-US"/>
        </w:rPr>
        <w:t>-</w:t>
      </w:r>
      <w:r w:rsidR="007F5719">
        <w:rPr>
          <w:lang w:val="en-US"/>
        </w:rPr>
        <w:t>research</w:t>
      </w:r>
      <w:r>
        <w:rPr>
          <w:lang w:val="en-US"/>
        </w:rPr>
        <w:t xml:space="preserve"> </w:t>
      </w:r>
      <w:r>
        <w:rPr>
          <w:rStyle w:val="ab"/>
          <w:lang w:val="en-US"/>
        </w:rPr>
        <w:footnoteReference w:customMarkFollows="1" w:id="1"/>
        <w:t>*)</w:t>
      </w:r>
    </w:p>
    <w:p w:rsidR="007F5719" w:rsidRPr="00D004CD" w:rsidRDefault="007F5719" w:rsidP="00DE6F70">
      <w:pPr>
        <w:pStyle w:val="Zv-Author"/>
        <w:spacing w:line="230" w:lineRule="auto"/>
        <w:rPr>
          <w:lang w:val="en-US"/>
        </w:rPr>
      </w:pPr>
      <w:r w:rsidRPr="00D004CD">
        <w:rPr>
          <w:vertAlign w:val="superscript"/>
          <w:lang w:val="en-US"/>
        </w:rPr>
        <w:t>1</w:t>
      </w:r>
      <w:r>
        <w:rPr>
          <w:u w:val="single"/>
          <w:lang w:val="en-US"/>
        </w:rPr>
        <w:t>Bedenko</w:t>
      </w:r>
      <w:r w:rsidRPr="00BD0665">
        <w:rPr>
          <w:u w:val="single"/>
          <w:lang w:val="en-US"/>
        </w:rPr>
        <w:t xml:space="preserve"> </w:t>
      </w:r>
      <w:r>
        <w:rPr>
          <w:u w:val="single"/>
          <w:lang w:val="en-US"/>
        </w:rPr>
        <w:t>S</w:t>
      </w:r>
      <w:r w:rsidRPr="00D004CD">
        <w:rPr>
          <w:u w:val="single"/>
          <w:lang w:val="en-US"/>
        </w:rPr>
        <w:t>.</w:t>
      </w:r>
      <w:r w:rsidRPr="00D004CD">
        <w:rPr>
          <w:lang w:val="en-US"/>
        </w:rPr>
        <w:t xml:space="preserve">, </w:t>
      </w:r>
      <w:r w:rsidR="00757015" w:rsidRPr="00D004CD">
        <w:rPr>
          <w:vertAlign w:val="superscript"/>
          <w:lang w:val="en-US"/>
        </w:rPr>
        <w:t>1</w:t>
      </w:r>
      <w:r w:rsidRPr="009045D6">
        <w:rPr>
          <w:lang w:val="en-US"/>
        </w:rPr>
        <w:t>Lutsik</w:t>
      </w:r>
      <w:r>
        <w:rPr>
          <w:lang w:val="en-US"/>
        </w:rPr>
        <w:t xml:space="preserve"> I.</w:t>
      </w:r>
      <w:r w:rsidRPr="00D004CD">
        <w:rPr>
          <w:lang w:val="en-US"/>
        </w:rPr>
        <w:t xml:space="preserve">, </w:t>
      </w:r>
      <w:r w:rsidRPr="00D004CD">
        <w:rPr>
          <w:vertAlign w:val="superscript"/>
          <w:lang w:val="en-US"/>
        </w:rPr>
        <w:t>1</w:t>
      </w:r>
      <w:r>
        <w:rPr>
          <w:lang w:val="en-US"/>
        </w:rPr>
        <w:t>Polozkov S</w:t>
      </w:r>
      <w:r w:rsidRPr="00D004CD">
        <w:rPr>
          <w:lang w:val="en-US"/>
        </w:rPr>
        <w:t xml:space="preserve">., </w:t>
      </w:r>
      <w:r w:rsidRPr="00D004CD">
        <w:rPr>
          <w:vertAlign w:val="superscript"/>
          <w:lang w:val="en-US"/>
        </w:rPr>
        <w:t>2</w:t>
      </w:r>
      <w:r w:rsidRPr="009045D6">
        <w:rPr>
          <w:lang w:val="en-US"/>
        </w:rPr>
        <w:t>Matyushin</w:t>
      </w:r>
      <w:r w:rsidRPr="00BD0665">
        <w:rPr>
          <w:lang w:val="en-US"/>
        </w:rPr>
        <w:t xml:space="preserve"> </w:t>
      </w:r>
      <w:r>
        <w:rPr>
          <w:lang w:val="en-US"/>
        </w:rPr>
        <w:t>A</w:t>
      </w:r>
      <w:r w:rsidRPr="00D004CD">
        <w:rPr>
          <w:lang w:val="en-US"/>
        </w:rPr>
        <w:t>.,</w:t>
      </w:r>
      <w:r>
        <w:rPr>
          <w:lang w:val="en-US"/>
        </w:rPr>
        <w:t xml:space="preserve"> </w:t>
      </w:r>
      <w:r w:rsidRPr="00D004CD">
        <w:rPr>
          <w:vertAlign w:val="superscript"/>
          <w:lang w:val="en-US"/>
        </w:rPr>
        <w:t>3</w:t>
      </w:r>
      <w:r w:rsidRPr="009045D6">
        <w:rPr>
          <w:lang w:val="en-US"/>
        </w:rPr>
        <w:t>Arzhannikov</w:t>
      </w:r>
      <w:r w:rsidRPr="00BD0665">
        <w:rPr>
          <w:lang w:val="en-US"/>
        </w:rPr>
        <w:t xml:space="preserve"> </w:t>
      </w:r>
      <w:r>
        <w:rPr>
          <w:lang w:val="en-US"/>
        </w:rPr>
        <w:t>A</w:t>
      </w:r>
      <w:r w:rsidRPr="00D004CD">
        <w:rPr>
          <w:lang w:val="en-US"/>
        </w:rPr>
        <w:t xml:space="preserve">., </w:t>
      </w:r>
      <w:r w:rsidRPr="00D004CD">
        <w:rPr>
          <w:vertAlign w:val="superscript"/>
          <w:lang w:val="en-US"/>
        </w:rPr>
        <w:t>3</w:t>
      </w:r>
      <w:r w:rsidRPr="009045D6">
        <w:rPr>
          <w:lang w:val="en-US"/>
        </w:rPr>
        <w:t>Prikhodko V</w:t>
      </w:r>
      <w:r w:rsidRPr="00D004CD">
        <w:rPr>
          <w:lang w:val="en-US"/>
        </w:rPr>
        <w:t xml:space="preserve">., </w:t>
      </w:r>
      <w:r w:rsidRPr="007F5719">
        <w:rPr>
          <w:vertAlign w:val="superscript"/>
          <w:lang w:val="en-US"/>
        </w:rPr>
        <w:t>4</w:t>
      </w:r>
      <w:r>
        <w:rPr>
          <w:lang w:val="en-US"/>
        </w:rPr>
        <w:t>Modestov</w:t>
      </w:r>
      <w:r w:rsidRPr="00BD0665">
        <w:rPr>
          <w:lang w:val="en-US"/>
        </w:rPr>
        <w:t xml:space="preserve"> </w:t>
      </w:r>
      <w:r>
        <w:rPr>
          <w:lang w:val="en-US"/>
        </w:rPr>
        <w:t>D</w:t>
      </w:r>
      <w:r w:rsidRPr="00D004CD">
        <w:rPr>
          <w:lang w:val="en-US"/>
        </w:rPr>
        <w:t xml:space="preserve">., </w:t>
      </w:r>
      <w:r w:rsidRPr="007F5719">
        <w:rPr>
          <w:vertAlign w:val="superscript"/>
          <w:lang w:val="en-US"/>
        </w:rPr>
        <w:t>4</w:t>
      </w:r>
      <w:r>
        <w:rPr>
          <w:lang w:val="en-US"/>
        </w:rPr>
        <w:t>Shmakov</w:t>
      </w:r>
      <w:r w:rsidRPr="00BD0665">
        <w:rPr>
          <w:lang w:val="en-US"/>
        </w:rPr>
        <w:t xml:space="preserve"> </w:t>
      </w:r>
      <w:r>
        <w:rPr>
          <w:lang w:val="en-US"/>
        </w:rPr>
        <w:t>V</w:t>
      </w:r>
      <w:r w:rsidRPr="00D004CD">
        <w:rPr>
          <w:lang w:val="en-US"/>
        </w:rPr>
        <w:t>.</w:t>
      </w:r>
    </w:p>
    <w:p w:rsidR="007F5719" w:rsidRPr="0099322B" w:rsidRDefault="007F5719" w:rsidP="00DE6F70">
      <w:pPr>
        <w:pStyle w:val="Zv-Organization"/>
        <w:spacing w:line="230" w:lineRule="auto"/>
        <w:rPr>
          <w:rStyle w:val="a7"/>
          <w:lang w:val="en-US"/>
        </w:rPr>
      </w:pPr>
      <w:r>
        <w:rPr>
          <w:vertAlign w:val="superscript"/>
          <w:lang w:val="en-US"/>
        </w:rPr>
        <w:t>1</w:t>
      </w:r>
      <w:r w:rsidRPr="00EE3DF7">
        <w:rPr>
          <w:lang w:val="en-US"/>
        </w:rPr>
        <w:t>National Research Tomsk Polytechnic University,</w:t>
      </w:r>
      <w:r>
        <w:rPr>
          <w:lang w:val="en-US"/>
        </w:rPr>
        <w:t xml:space="preserve"> Tomsk,</w:t>
      </w:r>
      <w:r w:rsidRPr="00EE3DF7">
        <w:rPr>
          <w:lang w:val="en-US"/>
        </w:rPr>
        <w:t xml:space="preserve"> Russia, </w:t>
      </w:r>
      <w:hyperlink r:id="rId8" w:history="1">
        <w:r w:rsidRPr="00EE3DF7">
          <w:rPr>
            <w:rStyle w:val="a7"/>
            <w:lang w:val="en-US"/>
          </w:rPr>
          <w:t>tpu@tpu.ru</w:t>
        </w:r>
      </w:hyperlink>
      <w:r w:rsidRPr="00EE3DF7">
        <w:rPr>
          <w:lang w:val="en-US"/>
        </w:rPr>
        <w:br/>
      </w:r>
      <w:r w:rsidRPr="00EE3DF7">
        <w:rPr>
          <w:vertAlign w:val="superscript"/>
          <w:lang w:val="en-US"/>
        </w:rPr>
        <w:t>2</w:t>
      </w:r>
      <w:r w:rsidRPr="00EB53C2">
        <w:rPr>
          <w:lang w:val="en-US"/>
        </w:rPr>
        <w:t>OKB Gidropress</w:t>
      </w:r>
      <w:r w:rsidRPr="00EE3DF7">
        <w:rPr>
          <w:lang w:val="en-US"/>
        </w:rPr>
        <w:t xml:space="preserve">, </w:t>
      </w:r>
      <w:r>
        <w:rPr>
          <w:lang w:val="en-US"/>
        </w:rPr>
        <w:t>Podolsk</w:t>
      </w:r>
      <w:r w:rsidRPr="00EE3DF7">
        <w:rPr>
          <w:lang w:val="en-US"/>
        </w:rPr>
        <w:t xml:space="preserve">, </w:t>
      </w:r>
      <w:r>
        <w:rPr>
          <w:lang w:val="en-US"/>
        </w:rPr>
        <w:t>Russia</w:t>
      </w:r>
      <w:r w:rsidRPr="00EE3DF7">
        <w:rPr>
          <w:lang w:val="en-US"/>
        </w:rPr>
        <w:t xml:space="preserve">, </w:t>
      </w:r>
      <w:hyperlink r:id="rId9" w:history="1">
        <w:r w:rsidRPr="00EE3DF7">
          <w:rPr>
            <w:rStyle w:val="a7"/>
            <w:lang w:val="en-US"/>
          </w:rPr>
          <w:t>grpress@grpress.podolsk.ru</w:t>
        </w:r>
      </w:hyperlink>
      <w:r w:rsidRPr="00EE3DF7">
        <w:rPr>
          <w:lang w:val="en-US"/>
        </w:rPr>
        <w:br/>
      </w:r>
      <w:r>
        <w:rPr>
          <w:vertAlign w:val="superscript"/>
          <w:lang w:val="en-US"/>
        </w:rPr>
        <w:t>3</w:t>
      </w:r>
      <w:r w:rsidRPr="00027E6F">
        <w:rPr>
          <w:lang w:val="en-US"/>
        </w:rPr>
        <w:t xml:space="preserve">Budker Institute of Nuclear Physics SB RAS, </w:t>
      </w:r>
      <w:r>
        <w:rPr>
          <w:lang w:val="en-US"/>
        </w:rPr>
        <w:t>Novosibirsk</w:t>
      </w:r>
      <w:r w:rsidRPr="00027E6F">
        <w:rPr>
          <w:lang w:val="en-US"/>
        </w:rPr>
        <w:t xml:space="preserve">, </w:t>
      </w:r>
      <w:r>
        <w:rPr>
          <w:lang w:val="en-US"/>
        </w:rPr>
        <w:t>Russia</w:t>
      </w:r>
      <w:r w:rsidRPr="00027E6F">
        <w:rPr>
          <w:lang w:val="en-US"/>
        </w:rPr>
        <w:t xml:space="preserve">, </w:t>
      </w:r>
      <w:hyperlink r:id="rId10" w:history="1">
        <w:r w:rsidRPr="00027E6F">
          <w:rPr>
            <w:rStyle w:val="a7"/>
            <w:lang w:val="en-US"/>
          </w:rPr>
          <w:t>inp@inp.nsk.su</w:t>
        </w:r>
      </w:hyperlink>
      <w:r w:rsidRPr="00E253CC">
        <w:rPr>
          <w:rStyle w:val="a7"/>
          <w:lang w:val="en-US"/>
        </w:rPr>
        <w:br/>
      </w:r>
      <w:r w:rsidRPr="007F5719">
        <w:rPr>
          <w:vertAlign w:val="superscript"/>
          <w:lang w:val="en-US"/>
        </w:rPr>
        <w:t>4</w:t>
      </w:r>
      <w:r w:rsidRPr="00E253CC">
        <w:rPr>
          <w:lang w:val="en-US"/>
        </w:rPr>
        <w:t>Russian Federal Nuclear Center – Zababakhin Institute of Applied Physic</w:t>
      </w:r>
      <w:r>
        <w:rPr>
          <w:lang w:val="en-US"/>
        </w:rPr>
        <w:t>s</w:t>
      </w:r>
      <w:r w:rsidRPr="00E253CC">
        <w:rPr>
          <w:lang w:val="en-US"/>
        </w:rPr>
        <w:t>,Snezhinsk,</w:t>
      </w:r>
      <w:r>
        <w:rPr>
          <w:lang w:val="en-US"/>
        </w:rPr>
        <w:br/>
        <w:t xml:space="preserve">    </w:t>
      </w:r>
      <w:r w:rsidRPr="00E253CC">
        <w:rPr>
          <w:lang w:val="en-US"/>
        </w:rPr>
        <w:t xml:space="preserve"> </w:t>
      </w:r>
      <w:r>
        <w:rPr>
          <w:lang w:val="en-US"/>
        </w:rPr>
        <w:t>Russia</w:t>
      </w:r>
      <w:r w:rsidRPr="00E253CC">
        <w:rPr>
          <w:lang w:val="en-US"/>
        </w:rPr>
        <w:t xml:space="preserve">, </w:t>
      </w:r>
      <w:hyperlink r:id="rId11" w:history="1">
        <w:r w:rsidRPr="00E253CC">
          <w:rPr>
            <w:rStyle w:val="a7"/>
            <w:lang w:val="en-US"/>
          </w:rPr>
          <w:t>vniitf@vniitf.ru</w:t>
        </w:r>
      </w:hyperlink>
    </w:p>
    <w:p w:rsidR="007F5719" w:rsidRDefault="007F5719" w:rsidP="00DE6F70">
      <w:pPr>
        <w:pStyle w:val="Zv-bodyreport"/>
        <w:spacing w:line="230" w:lineRule="auto"/>
        <w:rPr>
          <w:lang w:val="en-US"/>
        </w:rPr>
      </w:pPr>
      <w:r w:rsidRPr="00E85F51">
        <w:rPr>
          <w:lang w:val="en-US"/>
        </w:rPr>
        <w:t>Earlier, for the study of three-dimensional neutron fields and heat release in a hybrid fusion-fission facility, we developed computational models of a blanket and a plasma neutron source (PNS). Our performed studies made it possible to increase the “brightness” of the D-T neutron source [1], to analyze the nuclear and technological safety of the system when operating in a repetitively pulsed mode [2]. As a result of the simulation, it was found that when the PNS in the mode of constant emission of DT neutrons creates a flux at a level of 2.6×10</w:t>
      </w:r>
      <w:r w:rsidRPr="00E85F51">
        <w:rPr>
          <w:vertAlign w:val="superscript"/>
          <w:lang w:val="en-US"/>
        </w:rPr>
        <w:t>17</w:t>
      </w:r>
      <w:r w:rsidRPr="00E85F51">
        <w:rPr>
          <w:lang w:val="en-US"/>
        </w:rPr>
        <w:t> n×s</w:t>
      </w:r>
      <w:r w:rsidRPr="00E85F51">
        <w:rPr>
          <w:vertAlign w:val="superscript"/>
          <w:lang w:val="en-US"/>
        </w:rPr>
        <w:t>-1</w:t>
      </w:r>
      <w:r w:rsidRPr="00E85F51">
        <w:rPr>
          <w:lang w:val="en-US"/>
        </w:rPr>
        <w:t>, in the blanket part of the installation at k</w:t>
      </w:r>
      <w:r w:rsidRPr="00204EED">
        <w:rPr>
          <w:vertAlign w:val="subscript"/>
          <w:lang w:val="en-US"/>
        </w:rPr>
        <w:t>eff</w:t>
      </w:r>
      <w:r w:rsidRPr="00E85F51">
        <w:rPr>
          <w:lang w:val="en-US"/>
        </w:rPr>
        <w:t xml:space="preserve"> = 0.95, this flux will increase to a value of ~ 10</w:t>
      </w:r>
      <w:r w:rsidRPr="00E85F51">
        <w:rPr>
          <w:vertAlign w:val="superscript"/>
          <w:lang w:val="en-US"/>
        </w:rPr>
        <w:t>20</w:t>
      </w:r>
      <w:r w:rsidRPr="00E85F51">
        <w:rPr>
          <w:lang w:val="en-US"/>
        </w:rPr>
        <w:t> n×s</w:t>
      </w:r>
      <w:r w:rsidRPr="00E85F51">
        <w:rPr>
          <w:vertAlign w:val="superscript"/>
          <w:lang w:val="en-US"/>
        </w:rPr>
        <w:t>-1</w:t>
      </w:r>
      <w:r w:rsidRPr="00E85F51">
        <w:rPr>
          <w:lang w:val="en-US"/>
        </w:rPr>
        <w:t>. In the case of using a pulse-periodic mode of operation of the installation, such a flow inevitably leads to the formation of inhomogeneity of the energy release field in the blanket part. This circumstance leads to the formation of temperature field gradients, which can lead to a decrease in the service life of the fuel part of the blanket in a pulse-periodic mode.</w:t>
      </w:r>
    </w:p>
    <w:tbl>
      <w:tblPr>
        <w:tblStyle w:val="a8"/>
        <w:tblW w:w="0" w:type="auto"/>
        <w:tblLook w:val="04A0"/>
      </w:tblPr>
      <w:tblGrid>
        <w:gridCol w:w="3790"/>
        <w:gridCol w:w="6064"/>
      </w:tblGrid>
      <w:tr w:rsidR="007F5719" w:rsidTr="00A854FD">
        <w:trPr>
          <w:cantSplit/>
        </w:trPr>
        <w:tc>
          <w:tcPr>
            <w:tcW w:w="4114" w:type="dxa"/>
            <w:tcBorders>
              <w:top w:val="nil"/>
              <w:left w:val="nil"/>
              <w:bottom w:val="nil"/>
              <w:right w:val="nil"/>
            </w:tcBorders>
            <w:vAlign w:val="center"/>
          </w:tcPr>
          <w:p w:rsidR="007F5719" w:rsidRPr="0099322B" w:rsidRDefault="007F5719" w:rsidP="00DE6F70">
            <w:pPr>
              <w:pStyle w:val="Zv-bodyreport"/>
              <w:spacing w:line="230" w:lineRule="auto"/>
              <w:ind w:firstLine="0"/>
              <w:jc w:val="center"/>
              <w:rPr>
                <w:lang w:val="en-US"/>
              </w:rPr>
            </w:pPr>
            <w:r>
              <w:rPr>
                <w:noProof/>
              </w:rPr>
              <w:drawing>
                <wp:inline distT="0" distB="0" distL="0" distR="0">
                  <wp:extent cx="2320302" cy="23118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2583" cy="2324117"/>
                          </a:xfrm>
                          <a:prstGeom prst="rect">
                            <a:avLst/>
                          </a:prstGeom>
                          <a:noFill/>
                          <a:ln>
                            <a:noFill/>
                          </a:ln>
                        </pic:spPr>
                      </pic:pic>
                    </a:graphicData>
                  </a:graphic>
                </wp:inline>
              </w:drawing>
            </w:r>
          </w:p>
        </w:tc>
        <w:tc>
          <w:tcPr>
            <w:tcW w:w="5740" w:type="dxa"/>
            <w:tcBorders>
              <w:top w:val="nil"/>
              <w:left w:val="nil"/>
              <w:bottom w:val="nil"/>
              <w:right w:val="nil"/>
            </w:tcBorders>
            <w:vAlign w:val="center"/>
          </w:tcPr>
          <w:p w:rsidR="007F5719" w:rsidRDefault="007F5719" w:rsidP="00DE6F70">
            <w:pPr>
              <w:pStyle w:val="Zv-bodyreport"/>
              <w:spacing w:line="230" w:lineRule="auto"/>
              <w:ind w:firstLine="0"/>
              <w:jc w:val="center"/>
            </w:pPr>
            <w:r>
              <w:rPr>
                <w:noProof/>
              </w:rPr>
              <w:drawing>
                <wp:inline distT="0" distB="0" distL="0" distR="0">
                  <wp:extent cx="3797213" cy="2380891"/>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7080" cy="2399618"/>
                          </a:xfrm>
                          <a:prstGeom prst="rect">
                            <a:avLst/>
                          </a:prstGeom>
                          <a:noFill/>
                          <a:ln>
                            <a:noFill/>
                          </a:ln>
                        </pic:spPr>
                      </pic:pic>
                    </a:graphicData>
                  </a:graphic>
                </wp:inline>
              </w:drawing>
            </w:r>
          </w:p>
        </w:tc>
      </w:tr>
      <w:tr w:rsidR="007F5719" w:rsidTr="00A854FD">
        <w:trPr>
          <w:cantSplit/>
        </w:trPr>
        <w:tc>
          <w:tcPr>
            <w:tcW w:w="4114" w:type="dxa"/>
            <w:tcBorders>
              <w:top w:val="nil"/>
              <w:left w:val="nil"/>
              <w:bottom w:val="nil"/>
              <w:right w:val="nil"/>
            </w:tcBorders>
            <w:vAlign w:val="center"/>
          </w:tcPr>
          <w:p w:rsidR="007F5719" w:rsidRDefault="007F5719" w:rsidP="00DE6F70">
            <w:pPr>
              <w:pStyle w:val="Zv-bodyreport"/>
              <w:spacing w:line="230" w:lineRule="auto"/>
              <w:ind w:firstLine="0"/>
              <w:jc w:val="center"/>
              <w:rPr>
                <w:noProof/>
              </w:rPr>
            </w:pPr>
            <w:r>
              <w:rPr>
                <w:noProof/>
              </w:rPr>
              <w:t>(</w:t>
            </w:r>
            <w:r>
              <w:rPr>
                <w:noProof/>
                <w:lang w:val="en-US"/>
              </w:rPr>
              <w:t>a</w:t>
            </w:r>
            <w:r>
              <w:rPr>
                <w:noProof/>
              </w:rPr>
              <w:t>)</w:t>
            </w:r>
          </w:p>
        </w:tc>
        <w:tc>
          <w:tcPr>
            <w:tcW w:w="5740" w:type="dxa"/>
            <w:tcBorders>
              <w:top w:val="nil"/>
              <w:left w:val="nil"/>
              <w:bottom w:val="nil"/>
              <w:right w:val="nil"/>
            </w:tcBorders>
            <w:vAlign w:val="center"/>
          </w:tcPr>
          <w:p w:rsidR="007F5719" w:rsidRDefault="007F5719" w:rsidP="00DE6F70">
            <w:pPr>
              <w:pStyle w:val="Zv-bodyreport"/>
              <w:spacing w:line="230" w:lineRule="auto"/>
              <w:ind w:firstLine="0"/>
              <w:jc w:val="center"/>
              <w:rPr>
                <w:noProof/>
              </w:rPr>
            </w:pPr>
            <w:r>
              <w:rPr>
                <w:noProof/>
              </w:rPr>
              <w:t>(</w:t>
            </w:r>
            <w:r>
              <w:rPr>
                <w:noProof/>
                <w:lang w:val="en-US"/>
              </w:rPr>
              <w:t>b</w:t>
            </w:r>
            <w:r>
              <w:rPr>
                <w:noProof/>
              </w:rPr>
              <w:t>)</w:t>
            </w:r>
          </w:p>
        </w:tc>
      </w:tr>
      <w:tr w:rsidR="007F5719" w:rsidRPr="00DE6F70" w:rsidTr="00A854FD">
        <w:trPr>
          <w:cantSplit/>
        </w:trPr>
        <w:tc>
          <w:tcPr>
            <w:tcW w:w="9854" w:type="dxa"/>
            <w:gridSpan w:val="2"/>
            <w:tcBorders>
              <w:top w:val="nil"/>
              <w:left w:val="nil"/>
              <w:bottom w:val="nil"/>
              <w:right w:val="nil"/>
            </w:tcBorders>
            <w:vAlign w:val="center"/>
          </w:tcPr>
          <w:p w:rsidR="007F5719" w:rsidRPr="00FD5DA1" w:rsidRDefault="007F5719" w:rsidP="00DE6F70">
            <w:pPr>
              <w:pStyle w:val="Zv-bodyreport"/>
              <w:spacing w:line="230" w:lineRule="auto"/>
              <w:jc w:val="center"/>
              <w:rPr>
                <w:lang w:val="en-US"/>
              </w:rPr>
            </w:pPr>
            <w:r>
              <w:rPr>
                <w:lang w:val="en-US"/>
              </w:rPr>
              <w:t>Fig</w:t>
            </w:r>
            <w:r w:rsidRPr="00FD5DA1">
              <w:rPr>
                <w:lang w:val="en-US"/>
              </w:rPr>
              <w:t xml:space="preserve">. 1. Results of modeling (a) the intensity of nuclear fission in the volume of the first blanket layer adjacent to the </w:t>
            </w:r>
            <w:r>
              <w:rPr>
                <w:lang w:val="en-US"/>
              </w:rPr>
              <w:t>PNS</w:t>
            </w:r>
            <w:r w:rsidRPr="00FD5DA1">
              <w:rPr>
                <w:lang w:val="en-US"/>
              </w:rPr>
              <w:t xml:space="preserve"> and (b) the energy release field in the blanket sector</w:t>
            </w:r>
          </w:p>
        </w:tc>
      </w:tr>
    </w:tbl>
    <w:p w:rsidR="007F5719" w:rsidRPr="0099322B" w:rsidRDefault="007F5719" w:rsidP="00DE6F70">
      <w:pPr>
        <w:pStyle w:val="Zv-bodyreport"/>
        <w:spacing w:before="120" w:line="230" w:lineRule="auto"/>
        <w:rPr>
          <w:lang w:val="en-US"/>
        </w:rPr>
      </w:pPr>
      <w:r w:rsidRPr="00165069">
        <w:rPr>
          <w:lang w:val="en-US"/>
        </w:rPr>
        <w:t xml:space="preserve">In this study, a CFD model (Computational Fluid Dynamics Model) of a blanket was created to level the arising offsets of the radial and axial energy release fields. The results of the study (see Fig. 1) made it possible to adjust the operation of the </w:t>
      </w:r>
      <w:r>
        <w:rPr>
          <w:lang w:val="en-US"/>
        </w:rPr>
        <w:t>PNS</w:t>
      </w:r>
      <w:r w:rsidRPr="00165069">
        <w:rPr>
          <w:lang w:val="en-US"/>
        </w:rPr>
        <w:t xml:space="preserve"> (1) for safe </w:t>
      </w:r>
      <w:r>
        <w:rPr>
          <w:lang w:val="en-US"/>
        </w:rPr>
        <w:t>operation start</w:t>
      </w:r>
      <w:r w:rsidRPr="00165069">
        <w:rPr>
          <w:lang w:val="en-US"/>
        </w:rPr>
        <w:t xml:space="preserve"> of the </w:t>
      </w:r>
      <w:r>
        <w:rPr>
          <w:lang w:val="en-US"/>
        </w:rPr>
        <w:t>facility</w:t>
      </w:r>
      <w:r w:rsidRPr="00165069">
        <w:rPr>
          <w:lang w:val="en-US"/>
        </w:rPr>
        <w:t xml:space="preserve"> and (2) for maneuvering power in the long-term operation mode.</w:t>
      </w:r>
    </w:p>
    <w:p w:rsidR="007F5719" w:rsidRDefault="007F5719" w:rsidP="00DE6F70">
      <w:pPr>
        <w:pStyle w:val="Zv-bodyreport"/>
        <w:spacing w:before="120" w:line="230" w:lineRule="auto"/>
        <w:rPr>
          <w:lang w:val="en-US"/>
        </w:rPr>
      </w:pPr>
      <w:r w:rsidRPr="003E40EA">
        <w:rPr>
          <w:lang w:val="en-US"/>
        </w:rPr>
        <w:t xml:space="preserve">The reported </w:t>
      </w:r>
      <w:r w:rsidRPr="00DE6F70">
        <w:rPr>
          <w:lang w:val="en-US"/>
        </w:rPr>
        <w:t>study</w:t>
      </w:r>
      <w:r w:rsidRPr="003E40EA">
        <w:rPr>
          <w:lang w:val="en-US"/>
        </w:rPr>
        <w:t xml:space="preserve"> was funded by RFBR, project number 19-29-02005.</w:t>
      </w:r>
    </w:p>
    <w:p w:rsidR="007F5719" w:rsidRPr="0063603C" w:rsidRDefault="007F5719" w:rsidP="00DE6F70">
      <w:pPr>
        <w:pStyle w:val="Zv-TitleReferences-en"/>
        <w:spacing w:line="230" w:lineRule="auto"/>
        <w:rPr>
          <w:lang w:val="en-US"/>
        </w:rPr>
      </w:pPr>
      <w:r w:rsidRPr="009900C6">
        <w:rPr>
          <w:lang w:val="en-US"/>
        </w:rPr>
        <w:t>References</w:t>
      </w:r>
    </w:p>
    <w:p w:rsidR="007F5719" w:rsidRPr="00712208" w:rsidRDefault="007F5719" w:rsidP="00DE6F70">
      <w:pPr>
        <w:pStyle w:val="Zv-References-en"/>
        <w:spacing w:line="230" w:lineRule="auto"/>
        <w:jc w:val="both"/>
      </w:pPr>
      <w:r w:rsidRPr="00712208">
        <w:t>Prikhodko V.V. and Arzhannikov A.V. Simulations of fusion neutron source based on the axially symmetric mirror trap for the thorium hybrid reactor. J. Phys.: Conf. Ser., 2020 1647 012004.</w:t>
      </w:r>
    </w:p>
    <w:p w:rsidR="007F5719" w:rsidRPr="00712208" w:rsidRDefault="007F5719" w:rsidP="00DE6F70">
      <w:pPr>
        <w:pStyle w:val="Zv-References-en"/>
        <w:spacing w:line="230" w:lineRule="auto"/>
        <w:jc w:val="both"/>
        <w:rPr>
          <w:b/>
          <w:bCs/>
        </w:rPr>
      </w:pPr>
      <w:r w:rsidRPr="00712208">
        <w:t>Shamanin I.V., et al. Neutron data field in a fission reactor core with fusion neutron source at pulse-periodic operation. J. Phys.: Conf. Ser., 2020, 1647 012007.</w:t>
      </w:r>
    </w:p>
    <w:sectPr w:rsidR="007F5719" w:rsidRPr="00712208" w:rsidSect="00F95123">
      <w:headerReference w:type="default" r:id="rId14"/>
      <w:footerReference w:type="even" r:id="rId15"/>
      <w:footerReference w:type="default" r:id="rId16"/>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A5A" w:rsidRDefault="00404A5A">
      <w:r>
        <w:separator/>
      </w:r>
    </w:p>
  </w:endnote>
  <w:endnote w:type="continuationSeparator" w:id="0">
    <w:p w:rsidR="00404A5A" w:rsidRDefault="00404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4234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4234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E6F7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A5A" w:rsidRDefault="00404A5A">
      <w:r>
        <w:separator/>
      </w:r>
    </w:p>
  </w:footnote>
  <w:footnote w:type="continuationSeparator" w:id="0">
    <w:p w:rsidR="00404A5A" w:rsidRDefault="00404A5A">
      <w:r>
        <w:continuationSeparator/>
      </w:r>
    </w:p>
  </w:footnote>
  <w:footnote w:id="1">
    <w:p w:rsidR="00DE6F70" w:rsidRPr="00DE6F70" w:rsidRDefault="00DE6F70">
      <w:pPr>
        <w:pStyle w:val="a9"/>
        <w:rPr>
          <w:lang w:val="en-US"/>
        </w:rPr>
      </w:pPr>
      <w:r w:rsidRPr="00DE6F70">
        <w:rPr>
          <w:rStyle w:val="ab"/>
          <w:lang w:val="en-US"/>
        </w:rPr>
        <w:t>*)</w:t>
      </w:r>
      <w:r w:rsidRPr="00DE6F70">
        <w:rPr>
          <w:lang w:val="en-US"/>
        </w:rPr>
        <w:t xml:space="preserve">  </w:t>
      </w:r>
      <w:hyperlink r:id="rId1" w:history="1">
        <w:r w:rsidRPr="00DE6F7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94234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57015"/>
    <w:rsid w:val="00043701"/>
    <w:rsid w:val="00081366"/>
    <w:rsid w:val="000C657D"/>
    <w:rsid w:val="000C7078"/>
    <w:rsid w:val="000D76E9"/>
    <w:rsid w:val="000E495B"/>
    <w:rsid w:val="001909DA"/>
    <w:rsid w:val="001C0CCB"/>
    <w:rsid w:val="00205708"/>
    <w:rsid w:val="00220629"/>
    <w:rsid w:val="0023083F"/>
    <w:rsid w:val="00247225"/>
    <w:rsid w:val="003800F3"/>
    <w:rsid w:val="003A606B"/>
    <w:rsid w:val="003B5B93"/>
    <w:rsid w:val="003E0981"/>
    <w:rsid w:val="00401388"/>
    <w:rsid w:val="00404A5A"/>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57015"/>
    <w:rsid w:val="007B09C9"/>
    <w:rsid w:val="007B6378"/>
    <w:rsid w:val="007E06CE"/>
    <w:rsid w:val="007F5719"/>
    <w:rsid w:val="00802D35"/>
    <w:rsid w:val="008306AF"/>
    <w:rsid w:val="008520F9"/>
    <w:rsid w:val="008850EF"/>
    <w:rsid w:val="00906FF7"/>
    <w:rsid w:val="00942345"/>
    <w:rsid w:val="009D3AC4"/>
    <w:rsid w:val="00AE6185"/>
    <w:rsid w:val="00B622ED"/>
    <w:rsid w:val="00B9584E"/>
    <w:rsid w:val="00C103CD"/>
    <w:rsid w:val="00C232A0"/>
    <w:rsid w:val="00C5751F"/>
    <w:rsid w:val="00D47F19"/>
    <w:rsid w:val="00D900FB"/>
    <w:rsid w:val="00D92E54"/>
    <w:rsid w:val="00DE6F70"/>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71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7F5719"/>
    <w:rPr>
      <w:color w:val="0000FF" w:themeColor="hyperlink"/>
      <w:u w:val="single"/>
    </w:rPr>
  </w:style>
  <w:style w:type="table" w:styleId="a8">
    <w:name w:val="Table Grid"/>
    <w:basedOn w:val="a1"/>
    <w:rsid w:val="007F5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v-bodyreportChar">
    <w:name w:val="Zv-body_report Char"/>
    <w:link w:val="Zv-bodyreport"/>
    <w:locked/>
    <w:rsid w:val="007F5719"/>
    <w:rPr>
      <w:sz w:val="24"/>
      <w:szCs w:val="24"/>
    </w:rPr>
  </w:style>
  <w:style w:type="paragraph" w:styleId="a9">
    <w:name w:val="footnote text"/>
    <w:basedOn w:val="a"/>
    <w:link w:val="aa"/>
    <w:rsid w:val="00DE6F70"/>
    <w:rPr>
      <w:sz w:val="20"/>
      <w:szCs w:val="20"/>
    </w:rPr>
  </w:style>
  <w:style w:type="character" w:customStyle="1" w:styleId="aa">
    <w:name w:val="Текст сноски Знак"/>
    <w:basedOn w:val="a0"/>
    <w:link w:val="a9"/>
    <w:rsid w:val="00DE6F70"/>
  </w:style>
  <w:style w:type="character" w:styleId="ab">
    <w:name w:val="footnote reference"/>
    <w:basedOn w:val="a0"/>
    <w:rsid w:val="00DE6F7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pu@tpu.r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niitf@vniit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p@inp.nsk.su" TargetMode="External"/><Relationship Id="rId4" Type="http://schemas.openxmlformats.org/officeDocument/2006/relationships/settings" Target="settings.xml"/><Relationship Id="rId9" Type="http://schemas.openxmlformats.org/officeDocument/2006/relationships/hyperlink" Target="mailto:grpress@grpress.podolsk.r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P-Bed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5B324-E9D1-4CF0-B758-01039382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12</TotalTime>
  <Pages>1</Pages>
  <Words>402</Words>
  <Characters>2282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“FUSION-FISSION” REACTOR FACILITY: CFD-RESEARCH</dc:title>
  <dc:creator/>
  <cp:lastModifiedBy>Сатунин</cp:lastModifiedBy>
  <cp:revision>3</cp:revision>
  <cp:lastPrinted>1601-01-01T00:00:00Z</cp:lastPrinted>
  <dcterms:created xsi:type="dcterms:W3CDTF">2022-02-24T22:00:00Z</dcterms:created>
  <dcterms:modified xsi:type="dcterms:W3CDTF">2022-03-28T12:09:00Z</dcterms:modified>
</cp:coreProperties>
</file>