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9A" w:rsidRDefault="00C77C13" w:rsidP="00090B9A">
      <w:pPr>
        <w:pStyle w:val="Zv-Titlereport"/>
        <w:rPr>
          <w:lang w:val="en-US"/>
        </w:rPr>
      </w:pPr>
      <w:r w:rsidRPr="00C77C1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C77C13" w:rsidRPr="0095603D" w:rsidRDefault="00C77C1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7C13">
                    <w:rPr>
                      <w:sz w:val="22"/>
                      <w:szCs w:val="22"/>
                    </w:rPr>
                    <w:t>10.34854/ICPAF.2022.49.1.038</w:t>
                  </w:r>
                </w:p>
              </w:txbxContent>
            </v:textbox>
            <w10:anchorlock/>
          </v:shape>
        </w:pict>
      </w:r>
      <w:r w:rsidR="00090B9A">
        <w:rPr>
          <w:lang w:val="en-US"/>
        </w:rPr>
        <w:t>AnaLYsis of the peeling-ballooning mode in globus-m2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090B9A" w:rsidRDefault="00090B9A" w:rsidP="00090B9A">
      <w:pPr>
        <w:pStyle w:val="Zv-Author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Kurskiev G.S.,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Solokha V.V., </w:t>
      </w:r>
      <w:r>
        <w:rPr>
          <w:vertAlign w:val="superscript"/>
          <w:lang w:val="en-US"/>
        </w:rPr>
        <w:t>1,2</w:t>
      </w:r>
      <w:r>
        <w:rPr>
          <w:lang w:val="en-US"/>
        </w:rPr>
        <w:t xml:space="preserve">Yashin A.Yu.,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Gusev V.K.,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Zhiltsov N.S.,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Kiselev E.O.,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Minaev V.B.,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Miroshnikov I.V., </w:t>
      </w:r>
      <w:r>
        <w:rPr>
          <w:vertAlign w:val="superscript"/>
          <w:lang w:val="en-US"/>
        </w:rPr>
        <w:t>1</w:t>
      </w:r>
      <w:r>
        <w:rPr>
          <w:lang w:val="en-US"/>
        </w:rPr>
        <w:t>Petrov Yu.V.,</w:t>
      </w:r>
      <w:r w:rsidR="004016B8"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Petrov A.V.,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Ponomarenko A.M.,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Sakharov N.V.,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Tkachenko E.E.,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Tolstyakov S.Yu., </w:t>
      </w:r>
      <w:r>
        <w:rPr>
          <w:vertAlign w:val="superscript"/>
          <w:lang w:val="en-US"/>
        </w:rPr>
        <w:t>1</w:t>
      </w:r>
      <w:r>
        <w:rPr>
          <w:lang w:val="en-US"/>
        </w:rPr>
        <w:t>Tukhmeneva E.A.</w:t>
      </w:r>
    </w:p>
    <w:p w:rsidR="00090B9A" w:rsidRDefault="00090B9A" w:rsidP="00090B9A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Ioffe Institute, Saint-Petersburg, Russian Federation, </w:t>
      </w:r>
      <w:hyperlink r:id="rId8">
        <w:r>
          <w:rPr>
            <w:rStyle w:val="a7"/>
            <w:lang w:val="en-US"/>
          </w:rPr>
          <w:t>vladimir.soloha@gmail.com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>
        <w:rPr>
          <w:lang w:val="en-US"/>
        </w:rPr>
        <w:t>Peter the Great St.  Petersburg Polytechnic University, Saint-Petersburg, Russian</w:t>
      </w:r>
      <w:r>
        <w:rPr>
          <w:lang w:val="en-US"/>
        </w:rPr>
        <w:br/>
        <w:t xml:space="preserve">     Federation</w:t>
      </w:r>
    </w:p>
    <w:p w:rsidR="00090B9A" w:rsidRPr="00090B9A" w:rsidRDefault="00090B9A" w:rsidP="00090B9A">
      <w:pPr>
        <w:pStyle w:val="Zv-bodyreport"/>
        <w:rPr>
          <w:lang w:val="en-US"/>
        </w:rPr>
      </w:pPr>
      <w:r w:rsidRPr="00090B9A">
        <w:rPr>
          <w:lang w:val="en-US"/>
        </w:rPr>
        <w:t>The Globus-M2 [1] edge plasma in a high-confinement regime exhibits the destabilisation of the peeling-ballooning mode of two types: synchronised and desynchronised with the internal reconnection onset. The initial analysis of the synchronisation between internal reconnections and edge-localised modes highlighted the importance of the external current perturbation in the vicinity of the separatrix and pedestal [2]. The success rate of the edge instability triggering depends on the current perturbation penetration depth, a function of the temperature and safety factor.</w:t>
      </w:r>
    </w:p>
    <w:p w:rsidR="00090B9A" w:rsidRPr="00090B9A" w:rsidRDefault="00090B9A" w:rsidP="00090B9A">
      <w:pPr>
        <w:pStyle w:val="Zv-bodyreport"/>
        <w:rPr>
          <w:lang w:val="en-US"/>
        </w:rPr>
      </w:pPr>
      <w:r w:rsidRPr="00090B9A">
        <w:rPr>
          <w:lang w:val="en-US"/>
        </w:rPr>
        <w:t>In this paper, we present the stability analysis of peeling-ballooning mode in Globus-M2 plasmas. The peeling-ballooning stability was investigated utilising 3D MHD code implemented in the BOUT++ framework [3]. The initial conditions for simulations correspond to experimental values of plasma current, Ip, below 500 kA and toroidal magnetic field, Bt, below 1 T. The major and minor radii of the Globus-M2 vacuum vessel are R=0.36 m and r=0.24 m, correspondingly. The electron density and temperature profiles were measured by the Thomson scattering diagnostic (TS) [4,5] with a 1 cm spatial resolution near separatrix.</w:t>
      </w:r>
    </w:p>
    <w:p w:rsidR="00090B9A" w:rsidRPr="00090B9A" w:rsidRDefault="00090B9A" w:rsidP="00090B9A">
      <w:pPr>
        <w:pStyle w:val="Zv-bodyreport"/>
        <w:rPr>
          <w:lang w:val="en-US"/>
        </w:rPr>
      </w:pPr>
      <w:r w:rsidRPr="00090B9A">
        <w:rPr>
          <w:lang w:val="en-US"/>
        </w:rPr>
        <w:t xml:space="preserve">According to the model [2], the preliminary analysis revealed the inverse dependency of the synchronisation rate on electron temperature and plasma current. The current perturbation depth is significantly limited with electron temperature at </w:t>
      </w:r>
      <w:r w:rsidRPr="00090B9A">
        <w:t>ψ</w:t>
      </w:r>
      <w:r>
        <w:rPr>
          <w:color w:val="000000"/>
          <w:vertAlign w:val="subscript"/>
          <w:lang w:val="en-US"/>
        </w:rPr>
        <w:t>norm</w:t>
      </w:r>
      <w:r w:rsidRPr="00090B9A">
        <w:rPr>
          <w:lang w:val="en-US"/>
        </w:rPr>
        <w:t>=0.9 exceeding 300 eV and therefore does not lead to an edge-localised mode growth. However, the edge-localised mode requires the ballooning parameter to be higher than the critical value to trigger the onset without the current perturbation.  Also, a subset of pulses demonstrating the transition to ELM-free H-mode [6] was investigated.</w:t>
      </w:r>
    </w:p>
    <w:p w:rsidR="00090B9A" w:rsidRPr="00090B9A" w:rsidRDefault="00090B9A" w:rsidP="00090B9A">
      <w:pPr>
        <w:pStyle w:val="Zv-bodyreport"/>
        <w:spacing w:before="120"/>
        <w:rPr>
          <w:lang w:val="en-US"/>
        </w:rPr>
      </w:pPr>
      <w:r w:rsidRPr="00090B9A">
        <w:rPr>
          <w:lang w:val="en-US"/>
        </w:rPr>
        <w:t>This work is supported by the RSF grant project No. 18-72-10028. The experimental work is supported by Scientific Device “Spherical tokamak Globus-M” (Project ID: RFMEFI62119X0021).</w:t>
      </w:r>
    </w:p>
    <w:p w:rsidR="00090B9A" w:rsidRDefault="00090B9A" w:rsidP="00090B9A">
      <w:pPr>
        <w:pStyle w:val="Zv-TitleReferences-en"/>
        <w:rPr>
          <w:lang w:val="en-US"/>
        </w:rPr>
      </w:pPr>
      <w:r w:rsidRPr="00090B9A">
        <w:t>References</w:t>
      </w:r>
    </w:p>
    <w:p w:rsidR="00090B9A" w:rsidRDefault="00090B9A" w:rsidP="00090B9A">
      <w:pPr>
        <w:pStyle w:val="Zv-References-en"/>
        <w:numPr>
          <w:ilvl w:val="0"/>
          <w:numId w:val="8"/>
        </w:numPr>
        <w:suppressAutoHyphens/>
        <w:ind w:left="567" w:hanging="567"/>
      </w:pPr>
      <w:r>
        <w:t>Minaev V.B. et al, 2017, Nucl. Fusion, 57 066047</w:t>
      </w:r>
    </w:p>
    <w:p w:rsidR="00090B9A" w:rsidRDefault="00090B9A" w:rsidP="00090B9A">
      <w:pPr>
        <w:pStyle w:val="Zv-References-en"/>
        <w:numPr>
          <w:ilvl w:val="0"/>
          <w:numId w:val="8"/>
        </w:numPr>
        <w:suppressAutoHyphens/>
        <w:ind w:left="567" w:hanging="567"/>
      </w:pPr>
      <w:r>
        <w:t>Bulanin, V.V. et al, 2021, Plasma Phys. Control. Fusion, 63, 122001</w:t>
      </w:r>
    </w:p>
    <w:p w:rsidR="00090B9A" w:rsidRDefault="00090B9A" w:rsidP="00090B9A">
      <w:pPr>
        <w:pStyle w:val="Zv-References-en"/>
        <w:numPr>
          <w:ilvl w:val="0"/>
          <w:numId w:val="8"/>
        </w:numPr>
        <w:suppressAutoHyphens/>
        <w:ind w:left="567" w:hanging="567"/>
      </w:pPr>
      <w:r>
        <w:t>Dudson B. et al, 2009, Computer Physics Communications, 180, 1467–1480</w:t>
      </w:r>
    </w:p>
    <w:p w:rsidR="00090B9A" w:rsidRDefault="00090B9A" w:rsidP="00090B9A">
      <w:pPr>
        <w:pStyle w:val="Zv-References-en"/>
        <w:numPr>
          <w:ilvl w:val="0"/>
          <w:numId w:val="8"/>
        </w:numPr>
        <w:suppressAutoHyphens/>
        <w:ind w:left="567" w:hanging="567"/>
      </w:pPr>
      <w:r>
        <w:t>Tolstyakov S. et al, 2006, Technical Physics, Vol. 51, No. 7, pp. 846–852</w:t>
      </w:r>
    </w:p>
    <w:p w:rsidR="00090B9A" w:rsidRDefault="00090B9A" w:rsidP="00090B9A">
      <w:pPr>
        <w:pStyle w:val="Zv-References-en"/>
        <w:numPr>
          <w:ilvl w:val="0"/>
          <w:numId w:val="8"/>
        </w:numPr>
        <w:suppressAutoHyphens/>
        <w:ind w:left="567" w:hanging="567"/>
      </w:pPr>
      <w:r>
        <w:t>Kurskiev G. et al, 2020, Nuclear Inst. and Methods in Physics Research, A, 963</w:t>
      </w:r>
    </w:p>
    <w:p w:rsidR="00090B9A" w:rsidRDefault="00090B9A" w:rsidP="00090B9A">
      <w:pPr>
        <w:pStyle w:val="Zv-References-en"/>
        <w:numPr>
          <w:ilvl w:val="0"/>
          <w:numId w:val="8"/>
        </w:numPr>
        <w:suppressAutoHyphens/>
        <w:ind w:left="567" w:hanging="567"/>
      </w:pPr>
      <w:r>
        <w:t>Yashin, A.Y. et al, 2020, Plasma Phys. Rep. 46, 683–688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A53" w:rsidRDefault="00AA3A53">
      <w:r>
        <w:separator/>
      </w:r>
    </w:p>
  </w:endnote>
  <w:endnote w:type="continuationSeparator" w:id="0">
    <w:p w:rsidR="00AA3A53" w:rsidRDefault="00AA3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23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23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557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A53" w:rsidRDefault="00AA3A53">
      <w:r>
        <w:separator/>
      </w:r>
    </w:p>
  </w:footnote>
  <w:footnote w:type="continuationSeparator" w:id="0">
    <w:p w:rsidR="00AA3A53" w:rsidRDefault="00AA3A53">
      <w:r>
        <w:continuationSeparator/>
      </w:r>
    </w:p>
  </w:footnote>
  <w:footnote w:id="1">
    <w:p w:rsidR="00C77C13" w:rsidRPr="00C77C13" w:rsidRDefault="00C77C13">
      <w:pPr>
        <w:pStyle w:val="a8"/>
        <w:rPr>
          <w:lang w:val="en-US"/>
        </w:rPr>
      </w:pPr>
      <w:r w:rsidRPr="00C77C13">
        <w:rPr>
          <w:rStyle w:val="aa"/>
          <w:lang w:val="en-US"/>
        </w:rPr>
        <w:t>*)</w:t>
      </w:r>
      <w:r w:rsidRPr="00C77C13">
        <w:rPr>
          <w:lang w:val="en-US"/>
        </w:rPr>
        <w:t xml:space="preserve">  </w:t>
      </w:r>
      <w:hyperlink r:id="rId1" w:history="1">
        <w:r w:rsidRPr="00C77C13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61231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04AC74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4CE1A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B7EC5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4A18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F06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3AE6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96A8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4EE5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801B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E42FF"/>
    <w:multiLevelType w:val="multilevel"/>
    <w:tmpl w:val="C1D0DFE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7900"/>
    <w:rsid w:val="00043701"/>
    <w:rsid w:val="0005087A"/>
    <w:rsid w:val="00081366"/>
    <w:rsid w:val="00090B9A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D557D"/>
    <w:rsid w:val="003800F3"/>
    <w:rsid w:val="003A606B"/>
    <w:rsid w:val="003B5B93"/>
    <w:rsid w:val="003E0981"/>
    <w:rsid w:val="00401388"/>
    <w:rsid w:val="004016B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12313"/>
    <w:rsid w:val="00654A7B"/>
    <w:rsid w:val="006B5B24"/>
    <w:rsid w:val="00732A2E"/>
    <w:rsid w:val="00737900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A3A53"/>
    <w:rsid w:val="00AE6185"/>
    <w:rsid w:val="00B622ED"/>
    <w:rsid w:val="00B9584E"/>
    <w:rsid w:val="00BA2495"/>
    <w:rsid w:val="00C103CD"/>
    <w:rsid w:val="00C232A0"/>
    <w:rsid w:val="00C5751F"/>
    <w:rsid w:val="00C77C13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C77C13"/>
    <w:rPr>
      <w:color w:val="0000CC"/>
      <w:u w:val="single"/>
    </w:rPr>
  </w:style>
  <w:style w:type="character" w:customStyle="1" w:styleId="Zv-bodyreportChar">
    <w:name w:val="Zv-body_report Char"/>
    <w:link w:val="Zv-bodyreport"/>
    <w:locked/>
    <w:rsid w:val="00090B9A"/>
    <w:rPr>
      <w:sz w:val="24"/>
      <w:szCs w:val="24"/>
    </w:rPr>
  </w:style>
  <w:style w:type="paragraph" w:styleId="a8">
    <w:name w:val="footnote text"/>
    <w:basedOn w:val="a"/>
    <w:link w:val="a9"/>
    <w:rsid w:val="00C77C1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77C13"/>
  </w:style>
  <w:style w:type="character" w:styleId="aa">
    <w:name w:val="footnote reference"/>
    <w:basedOn w:val="a0"/>
    <w:rsid w:val="00C77C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soloh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BA-Soloh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554A8-2040-44E5-9B2A-A5474D69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16</TotalTime>
  <Pages>1</Pages>
  <Words>412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 OF THE PEELING-BALLOONING  MODE IN GLOBUS-M2</dc:title>
  <dc:creator/>
  <cp:lastModifiedBy>Сатунин</cp:lastModifiedBy>
  <cp:revision>6</cp:revision>
  <cp:lastPrinted>1601-01-01T00:00:00Z</cp:lastPrinted>
  <dcterms:created xsi:type="dcterms:W3CDTF">2022-02-23T11:31:00Z</dcterms:created>
  <dcterms:modified xsi:type="dcterms:W3CDTF">2022-03-25T12:09:00Z</dcterms:modified>
</cp:coreProperties>
</file>