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0D6" w:rsidRPr="00F740D6" w:rsidRDefault="003F25F7" w:rsidP="00F740D6">
      <w:pPr>
        <w:pStyle w:val="Zv-Titlereport"/>
        <w:rPr>
          <w:lang w:val="en-US"/>
        </w:rPr>
      </w:pPr>
      <w:r w:rsidRPr="003F25F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2461BB" w:rsidRPr="0095603D" w:rsidRDefault="002461BB" w:rsidP="003B6459">
                  <w:pPr>
                    <w:spacing w:before="80"/>
                    <w:rPr>
                      <w:sz w:val="22"/>
                      <w:szCs w:val="22"/>
                    </w:rPr>
                  </w:pPr>
                  <w:r w:rsidRPr="0095603D">
                    <w:rPr>
                      <w:sz w:val="22"/>
                      <w:szCs w:val="22"/>
                    </w:rPr>
                    <w:t>DOI:</w:t>
                  </w:r>
                  <w:r>
                    <w:rPr>
                      <w:sz w:val="22"/>
                      <w:szCs w:val="22"/>
                    </w:rPr>
                    <w:t xml:space="preserve"> </w:t>
                  </w:r>
                  <w:r w:rsidRPr="002461BB">
                    <w:rPr>
                      <w:sz w:val="22"/>
                      <w:szCs w:val="22"/>
                    </w:rPr>
                    <w:t>10.34854/ICPAF.2022.49.1.028</w:t>
                  </w:r>
                </w:p>
              </w:txbxContent>
            </v:textbox>
            <w10:anchorlock/>
          </v:shape>
        </w:pict>
      </w:r>
      <w:r w:rsidR="00F740D6" w:rsidRPr="00F740D6">
        <w:rPr>
          <w:lang w:val="en-US"/>
        </w:rPr>
        <w:t>Comparative transport simulation of the EC</w:t>
      </w:r>
      <w:r w:rsidR="00F740D6">
        <w:rPr>
          <w:lang w:val="en-US"/>
        </w:rPr>
        <w:t>R</w:t>
      </w:r>
      <w:r w:rsidR="00F740D6" w:rsidRPr="00F740D6">
        <w:rPr>
          <w:lang w:val="en-US"/>
        </w:rPr>
        <w:t>H plasmas in the TJ-II stellarator and T-10 tokamak</w:t>
      </w:r>
      <w:r w:rsidR="002461BB">
        <w:rPr>
          <w:lang w:val="en-US"/>
        </w:rPr>
        <w:t xml:space="preserve"> </w:t>
      </w:r>
      <w:r w:rsidR="002461BB">
        <w:rPr>
          <w:rStyle w:val="ab"/>
          <w:lang w:val="en-US"/>
        </w:rPr>
        <w:footnoteReference w:customMarkFollows="1" w:id="1"/>
        <w:t>*)</w:t>
      </w:r>
    </w:p>
    <w:p w:rsidR="00F740D6" w:rsidRPr="002461BB" w:rsidRDefault="00F740D6" w:rsidP="00F740D6">
      <w:pPr>
        <w:pStyle w:val="Zv-Author"/>
        <w:rPr>
          <w:lang w:val="en-US"/>
        </w:rPr>
      </w:pPr>
      <w:r w:rsidRPr="002461BB">
        <w:rPr>
          <w:vertAlign w:val="superscript"/>
          <w:lang w:val="en-US"/>
        </w:rPr>
        <w:t>1</w:t>
      </w:r>
      <w:r w:rsidRPr="002461BB">
        <w:rPr>
          <w:lang w:val="en-US"/>
        </w:rPr>
        <w:t xml:space="preserve">Dnestrovskij Yu.N., </w:t>
      </w:r>
      <w:r w:rsidRPr="002461BB">
        <w:rPr>
          <w:vertAlign w:val="superscript"/>
          <w:lang w:val="en-US"/>
        </w:rPr>
        <w:t>1,2</w:t>
      </w:r>
      <w:r w:rsidRPr="002461BB">
        <w:rPr>
          <w:lang w:val="en-US"/>
        </w:rPr>
        <w:t xml:space="preserve">Melnikov A.V., </w:t>
      </w:r>
      <w:r w:rsidRPr="002461BB">
        <w:rPr>
          <w:vertAlign w:val="superscript"/>
          <w:lang w:val="en-US"/>
        </w:rPr>
        <w:t>3</w:t>
      </w:r>
      <w:r w:rsidRPr="002461BB">
        <w:rPr>
          <w:lang w:val="en-US"/>
        </w:rPr>
        <w:t xml:space="preserve">Lopez-Bruna D., </w:t>
      </w:r>
      <w:r w:rsidRPr="002461BB">
        <w:rPr>
          <w:vertAlign w:val="superscript"/>
          <w:lang w:val="en-US"/>
        </w:rPr>
        <w:t>3</w:t>
      </w:r>
      <w:r w:rsidRPr="002461BB">
        <w:rPr>
          <w:lang w:val="en-US"/>
        </w:rPr>
        <w:t xml:space="preserve">Pastor I., </w:t>
      </w:r>
      <w:r w:rsidRPr="002461BB">
        <w:rPr>
          <w:vertAlign w:val="superscript"/>
          <w:lang w:val="en-US"/>
        </w:rPr>
        <w:t>1</w:t>
      </w:r>
      <w:r w:rsidRPr="002461BB">
        <w:rPr>
          <w:lang w:val="en-US"/>
        </w:rPr>
        <w:t xml:space="preserve">Dnestrovskij A.Yu., </w:t>
      </w:r>
      <w:r w:rsidRPr="002461BB">
        <w:rPr>
          <w:vertAlign w:val="superscript"/>
          <w:lang w:val="en-US"/>
        </w:rPr>
        <w:t>1</w:t>
      </w:r>
      <w:r w:rsidRPr="002461BB">
        <w:rPr>
          <w:lang w:val="en-US"/>
        </w:rPr>
        <w:t xml:space="preserve">Cherkasov S.V., </w:t>
      </w:r>
      <w:r w:rsidRPr="002461BB">
        <w:rPr>
          <w:vertAlign w:val="superscript"/>
          <w:lang w:val="en-US"/>
        </w:rPr>
        <w:t>1</w:t>
      </w:r>
      <w:r w:rsidRPr="002461BB">
        <w:rPr>
          <w:lang w:val="en-US"/>
        </w:rPr>
        <w:t xml:space="preserve">Danilov A.V., </w:t>
      </w:r>
      <w:r w:rsidRPr="002461BB">
        <w:rPr>
          <w:vertAlign w:val="superscript"/>
          <w:lang w:val="en-US"/>
        </w:rPr>
        <w:t>1</w:t>
      </w:r>
      <w:r w:rsidRPr="002461BB">
        <w:rPr>
          <w:lang w:val="en-US"/>
        </w:rPr>
        <w:t xml:space="preserve">Eliseev L.G., </w:t>
      </w:r>
      <w:r w:rsidRPr="002461BB">
        <w:rPr>
          <w:vertAlign w:val="superscript"/>
          <w:lang w:val="en-US"/>
        </w:rPr>
        <w:t>1</w:t>
      </w:r>
      <w:r w:rsidRPr="002461BB">
        <w:rPr>
          <w:lang w:val="en-US"/>
        </w:rPr>
        <w:t xml:space="preserve">Khabanov P.O., </w:t>
      </w:r>
      <w:r w:rsidRPr="002461BB">
        <w:rPr>
          <w:vertAlign w:val="superscript"/>
          <w:lang w:val="en-US"/>
        </w:rPr>
        <w:t>1</w:t>
      </w:r>
      <w:r w:rsidRPr="002461BB">
        <w:rPr>
          <w:lang w:val="en-US"/>
        </w:rPr>
        <w:t xml:space="preserve">Lysenko S.E., </w:t>
      </w:r>
      <w:r w:rsidRPr="002461BB">
        <w:rPr>
          <w:vertAlign w:val="superscript"/>
          <w:lang w:val="en-US"/>
        </w:rPr>
        <w:t>4</w:t>
      </w:r>
      <w:r w:rsidRPr="002461BB">
        <w:rPr>
          <w:lang w:val="en-US"/>
        </w:rPr>
        <w:t>Sychugov</w:t>
      </w:r>
      <w:r>
        <w:rPr>
          <w:lang w:val="en-US"/>
        </w:rPr>
        <w:t> </w:t>
      </w:r>
      <w:r w:rsidRPr="002461BB">
        <w:rPr>
          <w:lang w:val="en-US"/>
        </w:rPr>
        <w:t>D.Yu.</w:t>
      </w:r>
    </w:p>
    <w:p w:rsidR="00F740D6" w:rsidRDefault="00F740D6" w:rsidP="00F740D6">
      <w:pPr>
        <w:pStyle w:val="Zv-Organization"/>
        <w:rPr>
          <w:lang w:val="en-US"/>
        </w:rPr>
      </w:pPr>
      <w:r w:rsidRPr="00F740D6">
        <w:rPr>
          <w:iCs/>
          <w:vertAlign w:val="superscript"/>
          <w:lang w:val="en-US"/>
        </w:rPr>
        <w:t>1</w:t>
      </w:r>
      <w:r w:rsidRPr="00F740D6">
        <w:rPr>
          <w:lang w:val="en-US"/>
        </w:rPr>
        <w:t>NRC ‘Kurchatov Institute’</w:t>
      </w:r>
      <w:r>
        <w:rPr>
          <w:lang w:val="en-US"/>
        </w:rPr>
        <w:t>,</w:t>
      </w:r>
      <w:r w:rsidRPr="00F740D6">
        <w:rPr>
          <w:lang w:val="en-US"/>
        </w:rPr>
        <w:t xml:space="preserve"> Moscow, Russia, </w:t>
      </w:r>
      <w:hyperlink r:id="rId8" w:history="1">
        <w:r w:rsidRPr="00F740D6">
          <w:rPr>
            <w:rStyle w:val="a7"/>
            <w:lang w:val="en-US"/>
          </w:rPr>
          <w:t>Dnestrovskiy_YN@nrcki.ru</w:t>
        </w:r>
      </w:hyperlink>
      <w:r>
        <w:rPr>
          <w:lang w:val="en-US"/>
        </w:rPr>
        <w:t xml:space="preserve"> </w:t>
      </w:r>
      <w:r>
        <w:rPr>
          <w:lang w:val="en-US"/>
        </w:rPr>
        <w:br/>
      </w:r>
      <w:r w:rsidRPr="00F740D6">
        <w:rPr>
          <w:iCs/>
          <w:vertAlign w:val="superscript"/>
          <w:lang w:val="en-US"/>
        </w:rPr>
        <w:t>2</w:t>
      </w:r>
      <w:r>
        <w:rPr>
          <w:lang w:val="en-US"/>
        </w:rPr>
        <w:t xml:space="preserve">NRNU MEPhI, </w:t>
      </w:r>
      <w:r w:rsidRPr="00F740D6">
        <w:rPr>
          <w:lang w:val="en-US"/>
        </w:rPr>
        <w:t>Moscow, Russia</w:t>
      </w:r>
      <w:r>
        <w:rPr>
          <w:lang w:val="en-US"/>
        </w:rPr>
        <w:br/>
      </w:r>
      <w:r w:rsidRPr="00F740D6">
        <w:rPr>
          <w:vertAlign w:val="superscript"/>
          <w:lang w:val="en-US"/>
        </w:rPr>
        <w:t>3</w:t>
      </w:r>
      <w:r w:rsidRPr="00F740D6">
        <w:rPr>
          <w:lang w:val="en-US"/>
        </w:rPr>
        <w:t>Laboratorio Nacional de Fusion, CIEMAT, Madrid, Spain</w:t>
      </w:r>
      <w:r w:rsidRPr="00F740D6">
        <w:rPr>
          <w:lang w:val="en-US"/>
        </w:rPr>
        <w:br/>
      </w:r>
      <w:r>
        <w:rPr>
          <w:vertAlign w:val="superscript"/>
          <w:lang w:val="en-US"/>
        </w:rPr>
        <w:t>4</w:t>
      </w:r>
      <w:r w:rsidRPr="00F740D6">
        <w:rPr>
          <w:lang w:val="en-US"/>
        </w:rPr>
        <w:t xml:space="preserve">Lomonosov MSU, Moscow, Russia, </w:t>
      </w:r>
      <w:hyperlink r:id="rId9" w:history="1">
        <w:r w:rsidRPr="00F740D6">
          <w:rPr>
            <w:rStyle w:val="a7"/>
            <w:lang w:val="en-US"/>
          </w:rPr>
          <w:t>sychugov@cs.msu.ru</w:t>
        </w:r>
      </w:hyperlink>
    </w:p>
    <w:p w:rsidR="00F740D6" w:rsidRDefault="00F740D6" w:rsidP="00F740D6">
      <w:pPr>
        <w:pStyle w:val="Zv-bodyreport"/>
        <w:rPr>
          <w:lang w:val="en-US"/>
        </w:rPr>
      </w:pPr>
      <w:r w:rsidRPr="00153868">
        <w:rPr>
          <w:lang w:val="en-US"/>
        </w:rPr>
        <w:t>The concept of the equivalent discharges of a tokamak and a stellarator, having the same temperatures of electrons and ions introduced in [1] for the same fully absorbed EC</w:t>
      </w:r>
      <w:r>
        <w:rPr>
          <w:lang w:val="en-US"/>
        </w:rPr>
        <w:t>R</w:t>
      </w:r>
      <w:r w:rsidRPr="00153868">
        <w:rPr>
          <w:lang w:val="en-US"/>
        </w:rPr>
        <w:t>H</w:t>
      </w:r>
      <w:r w:rsidRPr="00F740D6">
        <w:rPr>
          <w:lang w:val="en-US"/>
        </w:rPr>
        <w:t xml:space="preserve"> (</w:t>
      </w:r>
      <w:r>
        <w:rPr>
          <w:lang w:val="en-US"/>
        </w:rPr>
        <w:t xml:space="preserve">electron-cyclotron resonance heating) </w:t>
      </w:r>
      <w:r w:rsidRPr="00153868">
        <w:rPr>
          <w:lang w:val="en-US"/>
        </w:rPr>
        <w:t>power is extended in the present paper to the case of partial absorption of EC</w:t>
      </w:r>
      <w:r>
        <w:rPr>
          <w:lang w:val="en-US"/>
        </w:rPr>
        <w:t>R</w:t>
      </w:r>
      <w:r w:rsidRPr="00153868">
        <w:rPr>
          <w:lang w:val="en-US"/>
        </w:rPr>
        <w:t>H-power. The conditions of discharges equivalence for this case are formulated. The examples of equivalent experimental discharges of the TJ-II stellarator and simulated discharges of the T-10 tokamak, are considered for partial EC</w:t>
      </w:r>
      <w:r>
        <w:rPr>
          <w:lang w:val="en-US"/>
        </w:rPr>
        <w:t>R</w:t>
      </w:r>
      <w:r w:rsidRPr="00153868">
        <w:rPr>
          <w:lang w:val="en-US"/>
        </w:rPr>
        <w:t>H-power absorption and the value of the absorbed power is determined. It is shown that the electron temperatures and absorbed power in the equivalent discharges are the same. The absorbed EC</w:t>
      </w:r>
      <w:r>
        <w:rPr>
          <w:lang w:val="en-US"/>
        </w:rPr>
        <w:t>R</w:t>
      </w:r>
      <w:r w:rsidRPr="00153868">
        <w:rPr>
          <w:lang w:val="en-US"/>
        </w:rPr>
        <w:t>H power and energy confinement time are found for series of TJ-II low-density shots with pure EC</w:t>
      </w:r>
      <w:r>
        <w:rPr>
          <w:lang w:val="en-US"/>
        </w:rPr>
        <w:t>R</w:t>
      </w:r>
      <w:r w:rsidRPr="00153868">
        <w:rPr>
          <w:lang w:val="en-US"/>
        </w:rPr>
        <w:t>H.</w:t>
      </w:r>
    </w:p>
    <w:p w:rsidR="00F740D6" w:rsidRPr="00F740D6" w:rsidRDefault="00F740D6" w:rsidP="00F740D6">
      <w:pPr>
        <w:pStyle w:val="Zv-bodyreport"/>
        <w:rPr>
          <w:lang w:val="en-US"/>
        </w:rPr>
      </w:pPr>
      <w:r w:rsidRPr="00BD4BE3">
        <w:rPr>
          <w:lang w:val="en-US"/>
        </w:rPr>
        <w:t xml:space="preserve">Figure 1 shows the dependence of the absorption efficiency </w:t>
      </w:r>
      <w:r>
        <w:rPr>
          <w:rFonts w:ascii="Symbol" w:hAnsi="Symbol"/>
          <w:lang w:val="en-US"/>
        </w:rPr>
        <w:t></w:t>
      </w:r>
      <w:r w:rsidRPr="00F740D6">
        <w:rPr>
          <w:lang w:val="en-US"/>
        </w:rPr>
        <w:t xml:space="preserve"> = </w:t>
      </w:r>
      <w:r w:rsidRPr="00F55777">
        <w:rPr>
          <w:i/>
          <w:lang w:val="en-US"/>
        </w:rPr>
        <w:t>Q</w:t>
      </w:r>
      <w:r w:rsidRPr="00F55777">
        <w:rPr>
          <w:vertAlign w:val="subscript"/>
          <w:lang w:val="en-US"/>
        </w:rPr>
        <w:t>ab</w:t>
      </w:r>
      <w:r w:rsidRPr="00F740D6">
        <w:rPr>
          <w:lang w:val="en-US"/>
        </w:rPr>
        <w:t>/</w:t>
      </w:r>
      <w:r w:rsidRPr="00F55777">
        <w:rPr>
          <w:i/>
          <w:lang w:val="en-US"/>
        </w:rPr>
        <w:t>Q</w:t>
      </w:r>
      <w:r w:rsidRPr="00F55777">
        <w:rPr>
          <w:vertAlign w:val="subscript"/>
          <w:lang w:val="en-US"/>
        </w:rPr>
        <w:t>EC</w:t>
      </w:r>
      <w:r>
        <w:rPr>
          <w:vertAlign w:val="subscript"/>
          <w:lang w:val="en-US"/>
        </w:rPr>
        <w:t xml:space="preserve">, </w:t>
      </w:r>
      <w:r w:rsidRPr="00F55777">
        <w:rPr>
          <w:lang w:val="en-US"/>
        </w:rPr>
        <w:t>where</w:t>
      </w:r>
      <w:r w:rsidRPr="00F740D6">
        <w:rPr>
          <w:lang w:val="en-US"/>
        </w:rPr>
        <w:t xml:space="preserve"> </w:t>
      </w:r>
      <w:r w:rsidRPr="00F55777">
        <w:rPr>
          <w:i/>
          <w:lang w:val="en-US"/>
        </w:rPr>
        <w:t>Q</w:t>
      </w:r>
      <w:r w:rsidRPr="00F55777">
        <w:rPr>
          <w:vertAlign w:val="subscript"/>
          <w:lang w:val="en-US"/>
        </w:rPr>
        <w:t>ab</w:t>
      </w:r>
      <w:r w:rsidRPr="00F740D6">
        <w:rPr>
          <w:lang w:val="en-US"/>
        </w:rPr>
        <w:t xml:space="preserve"> </w:t>
      </w:r>
      <w:r>
        <w:rPr>
          <w:lang w:val="en-US"/>
        </w:rPr>
        <w:t>and</w:t>
      </w:r>
      <w:r w:rsidRPr="00F740D6">
        <w:rPr>
          <w:lang w:val="en-US"/>
        </w:rPr>
        <w:t xml:space="preserve"> </w:t>
      </w:r>
      <w:r w:rsidRPr="00F55777">
        <w:rPr>
          <w:i/>
          <w:lang w:val="en-US"/>
        </w:rPr>
        <w:t>Q</w:t>
      </w:r>
      <w:r w:rsidRPr="00F55777">
        <w:rPr>
          <w:vertAlign w:val="subscript"/>
          <w:lang w:val="en-US"/>
        </w:rPr>
        <w:t>EC</w:t>
      </w:r>
      <w:r w:rsidRPr="00F740D6">
        <w:rPr>
          <w:lang w:val="en-US"/>
        </w:rPr>
        <w:t xml:space="preserve"> </w:t>
      </w:r>
      <w:r>
        <w:rPr>
          <w:lang w:val="en-US"/>
        </w:rPr>
        <w:t xml:space="preserve">are absorbed and input power </w:t>
      </w:r>
      <w:r w:rsidRPr="00BD4BE3">
        <w:rPr>
          <w:lang w:val="en-US"/>
        </w:rPr>
        <w:t xml:space="preserve">in T-10 and TJ-II as a function of the ratio of density </w:t>
      </w:r>
      <w:r w:rsidRPr="00BD4BE3">
        <w:rPr>
          <w:i/>
          <w:lang w:val="en-US"/>
        </w:rPr>
        <w:t>n</w:t>
      </w:r>
      <w:r w:rsidRPr="00BD4BE3">
        <w:rPr>
          <w:lang w:val="en-US"/>
        </w:rPr>
        <w:t xml:space="preserve"> to the main magnetic field </w:t>
      </w:r>
      <w:r w:rsidRPr="00BD4BE3">
        <w:rPr>
          <w:i/>
          <w:lang w:val="en-US"/>
        </w:rPr>
        <w:t>B</w:t>
      </w:r>
      <w:r w:rsidRPr="00BD4BE3">
        <w:rPr>
          <w:lang w:val="en-US"/>
        </w:rPr>
        <w:t xml:space="preserve">, which </w:t>
      </w:r>
      <w:r>
        <w:rPr>
          <w:lang w:val="en-US"/>
        </w:rPr>
        <w:t xml:space="preserve">allows us </w:t>
      </w:r>
      <w:r w:rsidRPr="00BD4BE3">
        <w:rPr>
          <w:lang w:val="en-US"/>
        </w:rPr>
        <w:t xml:space="preserve">to reduce the T-10 data (solid line and squares, field </w:t>
      </w:r>
      <w:r w:rsidRPr="00BD4BE3">
        <w:rPr>
          <w:i/>
          <w:lang w:val="en-US"/>
        </w:rPr>
        <w:t>B</w:t>
      </w:r>
      <w:r w:rsidRPr="00BD4BE3">
        <w:rPr>
          <w:lang w:val="en-US"/>
        </w:rPr>
        <w:t xml:space="preserve"> = 2.5 T) to TJ-II (</w:t>
      </w:r>
      <w:r w:rsidRPr="00BD4BE3">
        <w:rPr>
          <w:i/>
          <w:lang w:val="en-US"/>
        </w:rPr>
        <w:t>B</w:t>
      </w:r>
      <w:r w:rsidRPr="00BD4BE3">
        <w:rPr>
          <w:lang w:val="en-US"/>
        </w:rPr>
        <w:t xml:space="preserve"> = 1 T). The thin d</w:t>
      </w:r>
      <w:r>
        <w:rPr>
          <w:lang w:val="en-US"/>
        </w:rPr>
        <w:t>ash</w:t>
      </w:r>
      <w:r w:rsidRPr="00F740D6">
        <w:rPr>
          <w:lang w:val="en-US"/>
        </w:rPr>
        <w:t>-</w:t>
      </w:r>
      <w:r>
        <w:rPr>
          <w:lang w:val="en-US"/>
        </w:rPr>
        <w:t>dott</w:t>
      </w:r>
      <w:r w:rsidRPr="00BD4BE3">
        <w:rPr>
          <w:lang w:val="en-US"/>
        </w:rPr>
        <w:t>ed line shows the efficiency calculations in TJ-II using the formulas derived in [1], the thick d</w:t>
      </w:r>
      <w:r>
        <w:rPr>
          <w:lang w:val="en-US"/>
        </w:rPr>
        <w:t>ash</w:t>
      </w:r>
      <w:r w:rsidRPr="00BD4BE3">
        <w:rPr>
          <w:lang w:val="en-US"/>
        </w:rPr>
        <w:t xml:space="preserve">ed line shows the new formulas. </w:t>
      </w:r>
      <w:r>
        <w:rPr>
          <w:lang w:val="en-US"/>
        </w:rPr>
        <w:t>We</w:t>
      </w:r>
      <w:r w:rsidRPr="00BD4BE3">
        <w:rPr>
          <w:lang w:val="en-US"/>
        </w:rPr>
        <w:t xml:space="preserve"> se</w:t>
      </w:r>
      <w:r>
        <w:rPr>
          <w:lang w:val="en-US"/>
        </w:rPr>
        <w:t>e</w:t>
      </w:r>
      <w:r w:rsidRPr="00BD4BE3">
        <w:rPr>
          <w:lang w:val="en-US"/>
        </w:rPr>
        <w:t xml:space="preserve"> that the calculations are in </w:t>
      </w:r>
      <w:r>
        <w:rPr>
          <w:lang w:val="en-US"/>
        </w:rPr>
        <w:t xml:space="preserve">a </w:t>
      </w:r>
      <w:r w:rsidRPr="00BD4BE3">
        <w:rPr>
          <w:lang w:val="en-US"/>
        </w:rPr>
        <w:t>good agreement with the experiments.</w:t>
      </w:r>
    </w:p>
    <w:tbl>
      <w:tblPr>
        <w:tblStyle w:val="a8"/>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66"/>
        <w:gridCol w:w="2690"/>
      </w:tblGrid>
      <w:tr w:rsidR="00F740D6" w:rsidRPr="002461BB" w:rsidTr="002C2842">
        <w:trPr>
          <w:jc w:val="center"/>
        </w:trPr>
        <w:tc>
          <w:tcPr>
            <w:tcW w:w="4927" w:type="dxa"/>
          </w:tcPr>
          <w:p w:rsidR="00F740D6" w:rsidRDefault="00F740D6" w:rsidP="002C2842">
            <w:pPr>
              <w:pStyle w:val="Zv-bodyreport"/>
              <w:ind w:firstLine="0"/>
              <w:jc w:val="center"/>
            </w:pPr>
            <w:r w:rsidRPr="00231815">
              <w:rPr>
                <w:noProof/>
              </w:rPr>
              <w:drawing>
                <wp:inline distT="0" distB="0" distL="0" distR="0">
                  <wp:extent cx="4076700" cy="2905463"/>
                  <wp:effectExtent l="19050" t="0" r="0" b="0"/>
                  <wp:docPr id="5" name="Рисунок 0" descr="fig_z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_zv.tif"/>
                          <pic:cNvPicPr/>
                        </pic:nvPicPr>
                        <pic:blipFill>
                          <a:blip r:embed="rId10" cstate="print"/>
                          <a:stretch>
                            <a:fillRect/>
                          </a:stretch>
                        </pic:blipFill>
                        <pic:spPr>
                          <a:xfrm>
                            <a:off x="0" y="0"/>
                            <a:ext cx="4078404" cy="2906677"/>
                          </a:xfrm>
                          <a:prstGeom prst="rect">
                            <a:avLst/>
                          </a:prstGeom>
                        </pic:spPr>
                      </pic:pic>
                    </a:graphicData>
                  </a:graphic>
                </wp:inline>
              </w:drawing>
            </w:r>
          </w:p>
        </w:tc>
        <w:tc>
          <w:tcPr>
            <w:tcW w:w="4927" w:type="dxa"/>
            <w:vAlign w:val="bottom"/>
          </w:tcPr>
          <w:p w:rsidR="00F740D6" w:rsidRPr="00DC405F" w:rsidRDefault="00F740D6" w:rsidP="002C2842">
            <w:pPr>
              <w:pStyle w:val="Zv-bodyreport"/>
              <w:ind w:firstLine="0"/>
              <w:rPr>
                <w:lang w:val="en-US"/>
              </w:rPr>
            </w:pPr>
            <w:r>
              <w:rPr>
                <w:lang w:val="en-US"/>
              </w:rPr>
              <w:t xml:space="preserve">Fig. 1. </w:t>
            </w:r>
            <w:r w:rsidRPr="00DC405F">
              <w:rPr>
                <w:lang w:val="en-US"/>
              </w:rPr>
              <w:t>Dependence of the efficiency of ECR heating on the reduced density in the T-10 tokamak</w:t>
            </w:r>
            <w:r>
              <w:rPr>
                <w:lang w:val="en-US"/>
              </w:rPr>
              <w:t xml:space="preserve"> (solid line)</w:t>
            </w:r>
            <w:r w:rsidRPr="00DC405F">
              <w:rPr>
                <w:lang w:val="en-US"/>
              </w:rPr>
              <w:t xml:space="preserve"> and TJ-II stellarator. </w:t>
            </w:r>
            <w:r>
              <w:rPr>
                <w:lang w:val="en-US"/>
              </w:rPr>
              <w:t>Points show experiments, thin dash-dotted</w:t>
            </w:r>
            <w:r w:rsidRPr="00DC405F">
              <w:rPr>
                <w:lang w:val="en-US"/>
              </w:rPr>
              <w:t xml:space="preserve"> line </w:t>
            </w:r>
            <w:r>
              <w:rPr>
                <w:lang w:val="en-US"/>
              </w:rPr>
              <w:t>is</w:t>
            </w:r>
            <w:r w:rsidRPr="00DC405F">
              <w:rPr>
                <w:lang w:val="en-US"/>
              </w:rPr>
              <w:t xml:space="preserve"> calculations for TJ-II by the formulas from [1], thick d</w:t>
            </w:r>
            <w:r>
              <w:rPr>
                <w:lang w:val="en-US"/>
              </w:rPr>
              <w:t>ash</w:t>
            </w:r>
            <w:r w:rsidRPr="00DC405F">
              <w:rPr>
                <w:lang w:val="en-US"/>
              </w:rPr>
              <w:t>ed line</w:t>
            </w:r>
            <w:r>
              <w:rPr>
                <w:lang w:val="en-US"/>
              </w:rPr>
              <w:t xml:space="preserve"> is</w:t>
            </w:r>
            <w:r w:rsidRPr="00DC405F">
              <w:rPr>
                <w:lang w:val="en-US"/>
              </w:rPr>
              <w:t xml:space="preserve"> calculations by new formulas. </w:t>
            </w:r>
          </w:p>
        </w:tc>
      </w:tr>
    </w:tbl>
    <w:p w:rsidR="00F740D6" w:rsidRPr="00F740D6" w:rsidRDefault="00F740D6" w:rsidP="00F740D6">
      <w:pPr>
        <w:pStyle w:val="Zv-bodyreport"/>
        <w:ind w:firstLine="0"/>
        <w:rPr>
          <w:lang w:val="en-US"/>
        </w:rPr>
      </w:pPr>
    </w:p>
    <w:p w:rsidR="00F740D6" w:rsidRPr="00153868" w:rsidRDefault="00F740D6" w:rsidP="00F740D6">
      <w:pPr>
        <w:pStyle w:val="Zv-bodyreport"/>
        <w:rPr>
          <w:lang w:val="en-US"/>
        </w:rPr>
      </w:pPr>
      <w:r w:rsidRPr="00BD4BE3">
        <w:rPr>
          <w:lang w:val="en-US"/>
        </w:rPr>
        <w:t xml:space="preserve">The work of the Kurchatov group </w:t>
      </w:r>
      <w:r>
        <w:rPr>
          <w:lang w:val="en-US"/>
        </w:rPr>
        <w:t>is</w:t>
      </w:r>
      <w:r w:rsidRPr="00BD4BE3">
        <w:rPr>
          <w:lang w:val="en-US"/>
        </w:rPr>
        <w:t xml:space="preserve"> supported by the RSF, project 19-22-00312, </w:t>
      </w:r>
      <w:r>
        <w:rPr>
          <w:lang w:val="en-US"/>
        </w:rPr>
        <w:t>Yu.</w:t>
      </w:r>
      <w:r w:rsidRPr="00BD4BE3">
        <w:rPr>
          <w:lang w:val="en-US"/>
        </w:rPr>
        <w:t>N</w:t>
      </w:r>
      <w:r>
        <w:rPr>
          <w:lang w:val="en-US"/>
        </w:rPr>
        <w:t>.</w:t>
      </w:r>
      <w:r w:rsidRPr="00BD4BE3">
        <w:rPr>
          <w:lang w:val="en-US"/>
        </w:rPr>
        <w:t>D and D</w:t>
      </w:r>
      <w:r>
        <w:rPr>
          <w:lang w:val="en-US"/>
        </w:rPr>
        <w:t>.</w:t>
      </w:r>
      <w:r w:rsidRPr="00BD4BE3">
        <w:rPr>
          <w:lang w:val="en-US"/>
        </w:rPr>
        <w:t>Y</w:t>
      </w:r>
      <w:r>
        <w:rPr>
          <w:lang w:val="en-US"/>
        </w:rPr>
        <w:t>u.</w:t>
      </w:r>
      <w:r w:rsidRPr="00BD4BE3">
        <w:rPr>
          <w:lang w:val="en-US"/>
        </w:rPr>
        <w:t xml:space="preserve">S </w:t>
      </w:r>
      <w:r>
        <w:rPr>
          <w:lang w:val="en-US"/>
        </w:rPr>
        <w:t>a</w:t>
      </w:r>
      <w:r w:rsidRPr="00BD4BE3">
        <w:rPr>
          <w:lang w:val="en-US"/>
        </w:rPr>
        <w:t>re supported by the RFBR, grant 20-07-00391.</w:t>
      </w:r>
    </w:p>
    <w:p w:rsidR="00F740D6" w:rsidRPr="008370D0" w:rsidRDefault="00F740D6" w:rsidP="00F740D6">
      <w:pPr>
        <w:pStyle w:val="Zv-TitleReferences-en"/>
      </w:pPr>
      <w:r w:rsidRPr="008370D0">
        <w:t>References</w:t>
      </w:r>
    </w:p>
    <w:p w:rsidR="00F740D6" w:rsidRPr="008370D0" w:rsidRDefault="00F740D6" w:rsidP="00F740D6">
      <w:pPr>
        <w:pStyle w:val="Zv-References-en"/>
      </w:pPr>
      <w:r>
        <w:t>Dnestrovskij Yu.N</w:t>
      </w:r>
      <w:r w:rsidRPr="000A3A86">
        <w:t>.,</w:t>
      </w:r>
      <w:r>
        <w:t xml:space="preserve"> et al</w:t>
      </w:r>
      <w:r w:rsidRPr="000A3A86">
        <w:t>.</w:t>
      </w:r>
      <w:r>
        <w:t xml:space="preserve"> Plasma Phys. Control. Fusion </w:t>
      </w:r>
      <w:r w:rsidRPr="000A3A86">
        <w:t>2020</w:t>
      </w:r>
      <w:r>
        <w:t xml:space="preserve">, </w:t>
      </w:r>
      <w:r w:rsidRPr="008370D0">
        <w:t>63 (2021) 055012</w:t>
      </w:r>
      <w:r w:rsidRPr="000A3A86">
        <w:t>.</w:t>
      </w:r>
    </w:p>
    <w:sectPr w:rsidR="00F740D6" w:rsidRPr="008370D0"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276" w:rsidRDefault="00117276">
      <w:r>
        <w:separator/>
      </w:r>
    </w:p>
  </w:endnote>
  <w:endnote w:type="continuationSeparator" w:id="0">
    <w:p w:rsidR="00117276" w:rsidRDefault="001172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F25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F25F7"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A112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276" w:rsidRDefault="00117276">
      <w:r>
        <w:separator/>
      </w:r>
    </w:p>
  </w:footnote>
  <w:footnote w:type="continuationSeparator" w:id="0">
    <w:p w:rsidR="00117276" w:rsidRDefault="00117276">
      <w:r>
        <w:continuationSeparator/>
      </w:r>
    </w:p>
  </w:footnote>
  <w:footnote w:id="1">
    <w:p w:rsidR="002461BB" w:rsidRPr="002461BB" w:rsidRDefault="002461BB">
      <w:pPr>
        <w:pStyle w:val="a9"/>
        <w:rPr>
          <w:lang w:val="en-US"/>
        </w:rPr>
      </w:pPr>
      <w:r w:rsidRPr="002461BB">
        <w:rPr>
          <w:rStyle w:val="ab"/>
          <w:lang w:val="en-US"/>
        </w:rPr>
        <w:t>*)</w:t>
      </w:r>
      <w:r w:rsidRPr="002461BB">
        <w:rPr>
          <w:lang w:val="en-US"/>
        </w:rPr>
        <w:t xml:space="preserve">  </w:t>
      </w:r>
      <w:hyperlink r:id="rId1" w:history="1">
        <w:r w:rsidRPr="002461BB">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3F25F7">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80B10"/>
    <w:rsid w:val="00030AEB"/>
    <w:rsid w:val="00043701"/>
    <w:rsid w:val="00081366"/>
    <w:rsid w:val="000C657D"/>
    <w:rsid w:val="000C7078"/>
    <w:rsid w:val="000D76E9"/>
    <w:rsid w:val="000E495B"/>
    <w:rsid w:val="00117276"/>
    <w:rsid w:val="001C0CCB"/>
    <w:rsid w:val="00205708"/>
    <w:rsid w:val="00220629"/>
    <w:rsid w:val="0023083F"/>
    <w:rsid w:val="002461BB"/>
    <w:rsid w:val="00247225"/>
    <w:rsid w:val="003800F3"/>
    <w:rsid w:val="003A606B"/>
    <w:rsid w:val="003B5B93"/>
    <w:rsid w:val="003E0981"/>
    <w:rsid w:val="003F25F7"/>
    <w:rsid w:val="00401388"/>
    <w:rsid w:val="0043297E"/>
    <w:rsid w:val="00446025"/>
    <w:rsid w:val="004A77D1"/>
    <w:rsid w:val="004B4ACC"/>
    <w:rsid w:val="004B72AA"/>
    <w:rsid w:val="004F4E29"/>
    <w:rsid w:val="005074E3"/>
    <w:rsid w:val="00515724"/>
    <w:rsid w:val="00567C6F"/>
    <w:rsid w:val="00573BAD"/>
    <w:rsid w:val="00580B10"/>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CA1129"/>
    <w:rsid w:val="00D47F19"/>
    <w:rsid w:val="00D900FB"/>
    <w:rsid w:val="00D92E54"/>
    <w:rsid w:val="00E118BE"/>
    <w:rsid w:val="00E25E8B"/>
    <w:rsid w:val="00E7021A"/>
    <w:rsid w:val="00E87733"/>
    <w:rsid w:val="00EE371E"/>
    <w:rsid w:val="00EF07A9"/>
    <w:rsid w:val="00F722F5"/>
    <w:rsid w:val="00F740D6"/>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40D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F740D6"/>
    <w:rPr>
      <w:color w:val="0000FF" w:themeColor="hyperlink"/>
      <w:u w:val="single"/>
    </w:rPr>
  </w:style>
  <w:style w:type="table" w:styleId="a8">
    <w:name w:val="Table Grid"/>
    <w:basedOn w:val="a1"/>
    <w:rsid w:val="00F740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rsid w:val="002461BB"/>
    <w:rPr>
      <w:sz w:val="20"/>
      <w:szCs w:val="20"/>
    </w:rPr>
  </w:style>
  <w:style w:type="character" w:customStyle="1" w:styleId="aa">
    <w:name w:val="Текст сноски Знак"/>
    <w:basedOn w:val="a0"/>
    <w:link w:val="a9"/>
    <w:rsid w:val="002461BB"/>
  </w:style>
  <w:style w:type="character" w:styleId="ab">
    <w:name w:val="footnote reference"/>
    <w:basedOn w:val="a0"/>
    <w:rsid w:val="002461B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nestrovskiy_YN@nrcki.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hyperlink" Target="mailto:sychugov@cs.msu.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AB-Dnestrovskii.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222BF5-A81D-47FF-A13E-F6EA80F1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8</TotalTime>
  <Pages>1</Pages>
  <Words>366</Words>
  <Characters>2075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TRANSPORT SIMULATION OF THE ECRH PLASMAS IN THE TJ-II STELLARATOR AND T-10 TOKAMAK</dc:title>
  <dc:creator/>
  <cp:lastModifiedBy>Сатунин</cp:lastModifiedBy>
  <cp:revision>4</cp:revision>
  <cp:lastPrinted>1601-01-01T00:00:00Z</cp:lastPrinted>
  <dcterms:created xsi:type="dcterms:W3CDTF">2022-02-17T16:42:00Z</dcterms:created>
  <dcterms:modified xsi:type="dcterms:W3CDTF">2022-03-24T13:01:00Z</dcterms:modified>
</cp:coreProperties>
</file>