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961" w:rsidRPr="000C4D76" w:rsidRDefault="008B2961" w:rsidP="008B2961">
      <w:pPr>
        <w:pStyle w:val="Zv-Titlereport"/>
      </w:pPr>
      <w:r w:rsidRPr="006C4334">
        <w:t>Взаимодействие нелинейных бегущих волн в МГД с учётом эффекта Холла</w:t>
      </w:r>
      <w:r w:rsidR="000C4D76" w:rsidRPr="000C4D76">
        <w:t xml:space="preserve"> </w:t>
      </w:r>
      <w:r w:rsidR="000C4D76">
        <w:rPr>
          <w:rStyle w:val="ab"/>
        </w:rPr>
        <w:footnoteReference w:customMarkFollows="1" w:id="1"/>
        <w:t>*)</w:t>
      </w:r>
    </w:p>
    <w:p w:rsidR="008B2961" w:rsidRPr="003E7929" w:rsidRDefault="008B2961" w:rsidP="008B2961">
      <w:pPr>
        <w:pStyle w:val="Zv-Author"/>
        <w:rPr>
          <w:u w:val="single"/>
        </w:rPr>
      </w:pPr>
      <w:r w:rsidRPr="00A23A1C">
        <w:t>Гавриков М.Б</w:t>
      </w:r>
      <w:r>
        <w:t xml:space="preserve">., </w:t>
      </w:r>
      <w:r w:rsidRPr="00A23A1C">
        <w:rPr>
          <w:u w:val="single"/>
        </w:rPr>
        <w:t>Таюрский А.А.</w:t>
      </w:r>
    </w:p>
    <w:p w:rsidR="008B2961" w:rsidRPr="003E7929" w:rsidRDefault="008B2961" w:rsidP="008B2961">
      <w:pPr>
        <w:pStyle w:val="Zv-Organization"/>
      </w:pPr>
      <w:r>
        <w:t xml:space="preserve">ИПМ </w:t>
      </w:r>
      <w:r w:rsidRPr="00A23A1C">
        <w:t>им. М.В. Келдыша РАН, Москва, Россия,</w:t>
      </w:r>
      <w:r>
        <w:t xml:space="preserve"> </w:t>
      </w:r>
      <w:hyperlink r:id="rId8" w:history="1">
        <w:r w:rsidRPr="00B40993">
          <w:rPr>
            <w:rStyle w:val="a8"/>
            <w:lang w:val="en-US"/>
          </w:rPr>
          <w:t>mbgavrikov</w:t>
        </w:r>
        <w:r w:rsidRPr="00B40993">
          <w:rPr>
            <w:rStyle w:val="a8"/>
          </w:rPr>
          <w:t>@</w:t>
        </w:r>
        <w:r w:rsidRPr="00B40993">
          <w:rPr>
            <w:rStyle w:val="a8"/>
            <w:lang w:val="en-US"/>
          </w:rPr>
          <w:t>yandex</w:t>
        </w:r>
        <w:r w:rsidRPr="00B40993">
          <w:rPr>
            <w:rStyle w:val="a8"/>
          </w:rPr>
          <w:t>.</w:t>
        </w:r>
        <w:r w:rsidRPr="00B40993">
          <w:rPr>
            <w:rStyle w:val="a8"/>
            <w:lang w:val="en-US"/>
          </w:rPr>
          <w:t>ru</w:t>
        </w:r>
      </w:hyperlink>
      <w:r>
        <w:t>,</w:t>
      </w:r>
      <w:r w:rsidRPr="00A23A1C">
        <w:t xml:space="preserve"> </w:t>
      </w:r>
      <w:hyperlink r:id="rId9" w:history="1">
        <w:r w:rsidRPr="00A23A1C">
          <w:rPr>
            <w:rStyle w:val="a8"/>
            <w:lang w:val="en-US"/>
          </w:rPr>
          <w:t>tayurskiy</w:t>
        </w:r>
        <w:r w:rsidRPr="00A23A1C">
          <w:rPr>
            <w:rStyle w:val="a8"/>
          </w:rPr>
          <w:t>2001@</w:t>
        </w:r>
        <w:r w:rsidRPr="00A23A1C">
          <w:rPr>
            <w:rStyle w:val="a8"/>
            <w:lang w:val="en-US"/>
          </w:rPr>
          <w:t>mail</w:t>
        </w:r>
        <w:r w:rsidRPr="00A23A1C">
          <w:rPr>
            <w:rStyle w:val="a8"/>
          </w:rPr>
          <w:t>.</w:t>
        </w:r>
        <w:r w:rsidRPr="00A23A1C">
          <w:rPr>
            <w:rStyle w:val="a8"/>
            <w:lang w:val="en-US"/>
          </w:rPr>
          <w:t>ru</w:t>
        </w:r>
      </w:hyperlink>
      <w:r>
        <w:t>.</w:t>
      </w:r>
    </w:p>
    <w:p w:rsidR="008B2961" w:rsidRDefault="008B2961" w:rsidP="008B2961">
      <w:pPr>
        <w:pStyle w:val="Zv-bodyreport"/>
      </w:pPr>
      <w:r>
        <w:t xml:space="preserve">В докладе исследованы бегущие вдоль постоянного магнитного поля с постоянной скоростью нелинейные волны в горячей плазме в приближении идеальной (бездиссипативной) холловской МГД. Показано, что в безразмерном виде для волны, бегущей вдоль оси </w:t>
      </w:r>
      <w:r>
        <w:rPr>
          <w:lang w:val="en-US"/>
        </w:rPr>
        <w:t>x</w:t>
      </w:r>
      <w:r>
        <w:t>, параметры плазмы в волне подчиняются следующей системе уравнений, из которой они могут быть найдены:</w:t>
      </w:r>
    </w:p>
    <w:p w:rsidR="008B2961" w:rsidRPr="00084606" w:rsidRDefault="008B2961" w:rsidP="008B2961">
      <w:pPr>
        <w:pStyle w:val="Zv-formula"/>
        <w:rPr>
          <w:lang w:val="en-US"/>
        </w:rPr>
      </w:pPr>
      <w:r>
        <w:tab/>
      </w:r>
      <w:r w:rsidRPr="00084606">
        <w:rPr>
          <w:position w:val="-48"/>
        </w:rPr>
        <w:object w:dxaOrig="600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pt;height:54pt" o:ole="">
            <v:imagedata r:id="rId10" o:title=""/>
          </v:shape>
          <o:OLEObject Type="Embed" ProgID="Equation.DSMT4" ShapeID="_x0000_i1025" DrawAspect="Content" ObjectID="_1710183928" r:id="rId11"/>
        </w:object>
      </w:r>
      <w:r>
        <w:rPr>
          <w:lang w:val="en-US"/>
        </w:rPr>
        <w:tab/>
      </w:r>
    </w:p>
    <w:p w:rsidR="008B2961" w:rsidRDefault="008B2961" w:rsidP="008B2961">
      <w:pPr>
        <w:pStyle w:val="Zv-bodyreport"/>
        <w:ind w:firstLine="0"/>
      </w:pPr>
      <w:r>
        <w:t xml:space="preserve">где </w:t>
      </w:r>
      <w:r w:rsidRPr="00084606">
        <w:rPr>
          <w:i/>
          <w:lang w:val="en-US"/>
        </w:rPr>
        <w:t>u</w:t>
      </w:r>
      <w:r w:rsidRPr="001F3F15">
        <w:t xml:space="preserve"> – </w:t>
      </w:r>
      <w:r>
        <w:t xml:space="preserve">продольная скорость плазмы в системе отсчёта бегущей волны, </w:t>
      </w:r>
      <w:r w:rsidRPr="00084606">
        <w:rPr>
          <w:position w:val="-14"/>
        </w:rPr>
        <w:object w:dxaOrig="360" w:dyaOrig="380">
          <v:shape id="_x0000_i1026" type="#_x0000_t75" style="width:18pt;height:18.75pt" o:ole="">
            <v:imagedata r:id="rId12" o:title=""/>
          </v:shape>
          <o:OLEObject Type="Embed" ProgID="Equation.DSMT4" ShapeID="_x0000_i1026" DrawAspect="Content" ObjectID="_1710183929" r:id="rId13"/>
        </w:object>
      </w:r>
      <w:r>
        <w:t xml:space="preserve">, </w:t>
      </w:r>
      <w:r w:rsidRPr="00084606">
        <w:rPr>
          <w:position w:val="-12"/>
        </w:rPr>
        <w:object w:dxaOrig="340" w:dyaOrig="360">
          <v:shape id="_x0000_i1027" type="#_x0000_t75" style="width:16.5pt;height:18pt" o:ole="">
            <v:imagedata r:id="rId14" o:title=""/>
          </v:shape>
          <o:OLEObject Type="Embed" ProgID="Equation.DSMT4" ShapeID="_x0000_i1027" DrawAspect="Content" ObjectID="_1710183930" r:id="rId15"/>
        </w:object>
      </w:r>
      <w:r w:rsidRPr="001F3F15">
        <w:t xml:space="preserve"> – </w:t>
      </w:r>
      <w:r>
        <w:t xml:space="preserve">поперечное магнитное поле, </w:t>
      </w:r>
      <w:r w:rsidRPr="00084606">
        <w:rPr>
          <w:position w:val="-10"/>
        </w:rPr>
        <w:object w:dxaOrig="240" w:dyaOrig="320">
          <v:shape id="_x0000_i1028" type="#_x0000_t75" style="width:12pt;height:15.75pt" o:ole="">
            <v:imagedata r:id="rId16" o:title=""/>
          </v:shape>
          <o:OLEObject Type="Embed" ProgID="Equation.DSMT4" ShapeID="_x0000_i1028" DrawAspect="Content" ObjectID="_1710183931" r:id="rId17"/>
        </w:object>
      </w:r>
      <w:r w:rsidRPr="001F3F15">
        <w:t xml:space="preserve"> – </w:t>
      </w:r>
      <w:r>
        <w:t xml:space="preserve">безразмерное продольное магнитное поле, </w:t>
      </w:r>
      <w:r w:rsidRPr="00084606">
        <w:rPr>
          <w:i/>
          <w:lang w:val="en-US"/>
        </w:rPr>
        <w:t>K</w:t>
      </w:r>
      <w:r w:rsidRPr="001F3F15">
        <w:t xml:space="preserve"> –</w:t>
      </w:r>
      <w:r>
        <w:t xml:space="preserve"> безразмерная внутренняя энергия идеальной политропной плазмы с показателем адиабаты </w:t>
      </w:r>
      <w:r w:rsidRPr="00084606">
        <w:rPr>
          <w:position w:val="-10"/>
        </w:rPr>
        <w:object w:dxaOrig="200" w:dyaOrig="260">
          <v:shape id="_x0000_i1029" type="#_x0000_t75" style="width:9pt;height:12.75pt" o:ole="">
            <v:imagedata r:id="rId18" o:title=""/>
          </v:shape>
          <o:OLEObject Type="Embed" ProgID="Equation.DSMT4" ShapeID="_x0000_i1029" DrawAspect="Content" ObjectID="_1710183932" r:id="rId19"/>
        </w:object>
      </w:r>
      <w:r>
        <w:t xml:space="preserve">, </w:t>
      </w:r>
      <w:r w:rsidRPr="00084606">
        <w:rPr>
          <w:position w:val="-10"/>
        </w:rPr>
        <w:object w:dxaOrig="200" w:dyaOrig="320">
          <v:shape id="_x0000_i1030" type="#_x0000_t75" style="width:9pt;height:15.75pt" o:ole="">
            <v:imagedata r:id="rId20" o:title=""/>
          </v:shape>
          <o:OLEObject Type="Embed" ProgID="Equation.DSMT4" ShapeID="_x0000_i1030" DrawAspect="Content" ObjectID="_1710183933" r:id="rId21"/>
        </w:object>
      </w:r>
      <w:r w:rsidRPr="001F3F15">
        <w:t xml:space="preserve"> – </w:t>
      </w:r>
      <w:r>
        <w:t xml:space="preserve">число Будкера, </w:t>
      </w:r>
      <w:r w:rsidRPr="00084606">
        <w:rPr>
          <w:position w:val="-14"/>
        </w:rPr>
        <w:object w:dxaOrig="300" w:dyaOrig="380">
          <v:shape id="_x0000_i1031" type="#_x0000_t75" style="width:15pt;height:18.75pt" o:ole="">
            <v:imagedata r:id="rId22" o:title=""/>
          </v:shape>
          <o:OLEObject Type="Embed" ProgID="Equation.DSMT4" ShapeID="_x0000_i1031" DrawAspect="Content" ObjectID="_1710183934" r:id="rId23"/>
        </w:object>
      </w:r>
      <w:r>
        <w:t xml:space="preserve">, </w:t>
      </w:r>
      <w:r w:rsidRPr="00084606">
        <w:rPr>
          <w:position w:val="-12"/>
        </w:rPr>
        <w:object w:dxaOrig="300" w:dyaOrig="360">
          <v:shape id="_x0000_i1032" type="#_x0000_t75" style="width:15pt;height:18pt" o:ole="">
            <v:imagedata r:id="rId24" o:title=""/>
          </v:shape>
          <o:OLEObject Type="Embed" ProgID="Equation.DSMT4" ShapeID="_x0000_i1032" DrawAspect="Content" ObjectID="_1710183935" r:id="rId25"/>
        </w:object>
      </w:r>
      <w:r w:rsidRPr="001F3F15">
        <w:t xml:space="preserve"> – </w:t>
      </w:r>
      <w:r>
        <w:t xml:space="preserve">константы интегрирования, определяемые поперечным электрическим полем в системе отсчёта движущейся волны, </w:t>
      </w:r>
      <w:r w:rsidRPr="00084606">
        <w:rPr>
          <w:position w:val="-14"/>
        </w:rPr>
        <w:object w:dxaOrig="2299" w:dyaOrig="420">
          <v:shape id="_x0000_i1033" type="#_x0000_t75" style="width:114.75pt;height:20.25pt" o:ole="">
            <v:imagedata r:id="rId26" o:title=""/>
          </v:shape>
          <o:OLEObject Type="Embed" ProgID="Equation.DSMT4" ShapeID="_x0000_i1033" DrawAspect="Content" ObjectID="_1710183936" r:id="rId27"/>
        </w:object>
      </w:r>
      <w:r w:rsidRPr="005A3AEE">
        <w:t xml:space="preserve"> – </w:t>
      </w:r>
      <w:r>
        <w:t xml:space="preserve">материальная константа, где </w:t>
      </w:r>
      <w:r w:rsidRPr="00084606">
        <w:rPr>
          <w:position w:val="-12"/>
        </w:rPr>
        <w:object w:dxaOrig="1160" w:dyaOrig="360">
          <v:shape id="_x0000_i1034" type="#_x0000_t75" style="width:57.75pt;height:18pt" o:ole="">
            <v:imagedata r:id="rId28" o:title=""/>
          </v:shape>
          <o:OLEObject Type="Embed" ProgID="Equation.DSMT4" ShapeID="_x0000_i1034" DrawAspect="Content" ObjectID="_1710183937" r:id="rId29"/>
        </w:object>
      </w:r>
      <w:r w:rsidRPr="005A3AEE">
        <w:t xml:space="preserve">, </w:t>
      </w:r>
      <w:r w:rsidRPr="00084606">
        <w:rPr>
          <w:position w:val="-12"/>
        </w:rPr>
        <w:object w:dxaOrig="320" w:dyaOrig="360">
          <v:shape id="_x0000_i1035" type="#_x0000_t75" style="width:15.75pt;height:18pt" o:ole="">
            <v:imagedata r:id="rId30" o:title=""/>
          </v:shape>
          <o:OLEObject Type="Embed" ProgID="Equation.DSMT4" ShapeID="_x0000_i1035" DrawAspect="Content" ObjectID="_1710183938" r:id="rId31"/>
        </w:object>
      </w:r>
      <w:r w:rsidRPr="005A3AEE">
        <w:t xml:space="preserve">, </w:t>
      </w:r>
      <w:r w:rsidRPr="00084606">
        <w:rPr>
          <w:position w:val="-12"/>
        </w:rPr>
        <w:object w:dxaOrig="260" w:dyaOrig="360">
          <v:shape id="_x0000_i1036" type="#_x0000_t75" style="width:12.75pt;height:18pt" o:ole="">
            <v:imagedata r:id="rId32" o:title=""/>
          </v:shape>
          <o:OLEObject Type="Embed" ProgID="Equation.DSMT4" ShapeID="_x0000_i1036" DrawAspect="Content" ObjectID="_1710183939" r:id="rId33"/>
        </w:object>
      </w:r>
      <w:r w:rsidRPr="005A3AEE">
        <w:t xml:space="preserve"> – </w:t>
      </w:r>
      <w:r>
        <w:t xml:space="preserve">массы и заряды электронов (-) и ионов (+), </w:t>
      </w:r>
      <w:r w:rsidRPr="000B6779">
        <w:rPr>
          <w:position w:val="-6"/>
        </w:rPr>
        <w:object w:dxaOrig="200" w:dyaOrig="220">
          <v:shape id="_x0000_i1037" type="#_x0000_t75" style="width:9pt;height:11.25pt" o:ole="">
            <v:imagedata r:id="rId34" o:title=""/>
          </v:shape>
          <o:OLEObject Type="Embed" ProgID="Equation.DSMT4" ShapeID="_x0000_i1037" DrawAspect="Content" ObjectID="_1710183940" r:id="rId35"/>
        </w:object>
      </w:r>
      <w:r w:rsidRPr="000B6779">
        <w:t xml:space="preserve"> – </w:t>
      </w:r>
      <w:r>
        <w:t xml:space="preserve">лагранжева координата, </w:t>
      </w:r>
      <w:r w:rsidRPr="000B6779">
        <w:rPr>
          <w:position w:val="-14"/>
        </w:rPr>
        <w:object w:dxaOrig="1680" w:dyaOrig="400">
          <v:shape id="_x0000_i1038" type="#_x0000_t75" style="width:84pt;height:20.25pt" o:ole="">
            <v:imagedata r:id="rId36" o:title=""/>
          </v:shape>
          <o:OLEObject Type="Embed" ProgID="Equation.DSMT4" ShapeID="_x0000_i1038" DrawAspect="Content" ObjectID="_1710183941" r:id="rId37"/>
        </w:object>
      </w:r>
      <w:r>
        <w:t xml:space="preserve">, </w:t>
      </w:r>
      <w:r w:rsidRPr="000B6779">
        <w:rPr>
          <w:position w:val="-6"/>
        </w:rPr>
        <w:object w:dxaOrig="980" w:dyaOrig="279">
          <v:shape id="_x0000_i1039" type="#_x0000_t75" style="width:48.75pt;height:14.25pt" o:ole="">
            <v:imagedata r:id="rId38" o:title=""/>
          </v:shape>
          <o:OLEObject Type="Embed" ProgID="Equation.DSMT4" ShapeID="_x0000_i1039" DrawAspect="Content" ObjectID="_1710183942" r:id="rId39"/>
        </w:object>
      </w:r>
      <w:r w:rsidRPr="000B6779">
        <w:t xml:space="preserve"> – </w:t>
      </w:r>
      <w:r>
        <w:t xml:space="preserve">фаза волны, </w:t>
      </w:r>
      <w:r w:rsidRPr="000B6779">
        <w:rPr>
          <w:i/>
          <w:lang w:val="en-US"/>
        </w:rPr>
        <w:t>a</w:t>
      </w:r>
      <w:r w:rsidRPr="000B6779">
        <w:t xml:space="preserve"> – </w:t>
      </w:r>
      <w:r>
        <w:t>скорость волны.</w:t>
      </w:r>
    </w:p>
    <w:p w:rsidR="008B2961" w:rsidRDefault="008B2961" w:rsidP="008B2961">
      <w:pPr>
        <w:pStyle w:val="Zv-bodyreport"/>
      </w:pPr>
      <w:r>
        <w:t>Численное и аналитическое исследование представленной системы уравнений позволило классифицировать нелинейные бегущие волны. Показано, что они делятся на три основных типа: нелинейные периодические колебания, уединённые волны и нелинейные волновые пакеты колебаний. Численно исследовано взаимодействие уединённых волн и установлено, что это взаимодействие подобно упругому взаимодействию материальных частиц, сохраняющий после взаимодействия свои характеристики. Кроме того, показано, что некоторые плазменные возмущения, локализованные в пространстве, могут распадаться на уединённые волны. Наконец, в докладе численно проанализировано взаимодействие волновых пакетов колебаний.</w:t>
      </w:r>
    </w:p>
    <w:p w:rsidR="008B2961" w:rsidRDefault="008B2961" w:rsidP="008B2961">
      <w:pPr>
        <w:pStyle w:val="Zv-TitleReferences-ru"/>
      </w:pPr>
      <w:r>
        <w:t>Литература</w:t>
      </w:r>
    </w:p>
    <w:p w:rsidR="008B2961" w:rsidRPr="00084606" w:rsidRDefault="008B2961" w:rsidP="008B2961">
      <w:pPr>
        <w:pStyle w:val="Zv-References-ru"/>
        <w:numPr>
          <w:ilvl w:val="0"/>
          <w:numId w:val="1"/>
        </w:numPr>
      </w:pPr>
      <w:r w:rsidRPr="00084606">
        <w:t>Гавриков М.Б., Таюрский А.А. Нелинейные бегущие волны в горячей плазме // Препринты ИПМ им. М.В. Келдыша. 2018. № 92. 40 с.</w:t>
      </w:r>
    </w:p>
    <w:p w:rsidR="008B2961" w:rsidRPr="00323D37" w:rsidRDefault="008B2961" w:rsidP="008B2961">
      <w:pPr>
        <w:pStyle w:val="Zv-References-ru"/>
        <w:numPr>
          <w:ilvl w:val="0"/>
          <w:numId w:val="1"/>
        </w:numPr>
      </w:pPr>
      <w:r w:rsidRPr="00323D37">
        <w:t>М.Б. Гавриков, А.А. Таюрский Нелинейные бегущие волны и ускорение плазмы в квазистационарных плазменных ускорителях (КСПУ) с продольным полем // Вестник НИЯУ МИФИ. 2019. Т. 8. № 1. с. 34–39</w:t>
      </w:r>
      <w:r>
        <w:rPr>
          <w:lang w:val="en-US"/>
        </w:rPr>
        <w:t>.</w:t>
      </w:r>
    </w:p>
    <w:p w:rsidR="008B2961" w:rsidRPr="00ED0FE1" w:rsidRDefault="008B2961" w:rsidP="008B2961">
      <w:pPr>
        <w:pStyle w:val="Zv-References-ru"/>
        <w:numPr>
          <w:ilvl w:val="0"/>
          <w:numId w:val="1"/>
        </w:numPr>
      </w:pPr>
      <w:r w:rsidRPr="00323D37">
        <w:rPr>
          <w:lang w:val="en-US"/>
        </w:rPr>
        <w:t xml:space="preserve">M. B. Gavrikov and A. A. Taiurskii Traveling waves and plasma acceleration in Quasi-Steady Plasma Accelerators (QSPAs) with longitudinal field. </w:t>
      </w:r>
      <w:r>
        <w:rPr>
          <w:lang w:val="en-US"/>
        </w:rPr>
        <w:t>J</w:t>
      </w:r>
      <w:r w:rsidRPr="00323D37">
        <w:t xml:space="preserve">. </w:t>
      </w:r>
      <w:r>
        <w:rPr>
          <w:lang w:val="en-US"/>
        </w:rPr>
        <w:t>Phys</w:t>
      </w:r>
      <w:r>
        <w:t xml:space="preserve">: </w:t>
      </w:r>
      <w:r>
        <w:rPr>
          <w:lang w:val="en-US"/>
        </w:rPr>
        <w:t>Conf. Ser</w:t>
      </w:r>
      <w:r w:rsidRPr="00323D37">
        <w:rPr>
          <w:lang w:val="en-US"/>
        </w:rPr>
        <w:t>.</w:t>
      </w:r>
      <w:r w:rsidRPr="00323D37">
        <w:t xml:space="preserve"> </w:t>
      </w:r>
      <w:r w:rsidRPr="00BF3797">
        <w:rPr>
          <w:b/>
        </w:rPr>
        <w:t>1205</w:t>
      </w:r>
      <w:r w:rsidRPr="00323D37">
        <w:t>, 012014, 2019.</w:t>
      </w:r>
    </w:p>
    <w:p w:rsidR="008B2961" w:rsidRPr="005A3AEE" w:rsidRDefault="008B2961" w:rsidP="008B2961">
      <w:pPr>
        <w:pStyle w:val="Zv-References-ru"/>
        <w:numPr>
          <w:ilvl w:val="0"/>
          <w:numId w:val="1"/>
        </w:numPr>
      </w:pPr>
      <w:r w:rsidRPr="00323D37">
        <w:rPr>
          <w:lang w:val="en-US"/>
        </w:rPr>
        <w:t>V</w:t>
      </w:r>
      <w:r>
        <w:rPr>
          <w:lang w:val="en-US"/>
        </w:rPr>
        <w:t>.</w:t>
      </w:r>
      <w:r w:rsidRPr="00323D37">
        <w:rPr>
          <w:lang w:val="en-US"/>
        </w:rPr>
        <w:t>V</w:t>
      </w:r>
      <w:r>
        <w:rPr>
          <w:lang w:val="en-US"/>
        </w:rPr>
        <w:t>.</w:t>
      </w:r>
      <w:r w:rsidRPr="00323D37">
        <w:rPr>
          <w:lang w:val="en-US"/>
        </w:rPr>
        <w:t xml:space="preserve"> Savelyev Nonlinear waves in the Hall magnetic hydrodynamics</w:t>
      </w:r>
      <w:r>
        <w:rPr>
          <w:lang w:val="en-US"/>
        </w:rPr>
        <w:t>. J</w:t>
      </w:r>
      <w:r w:rsidRPr="000B6779">
        <w:t xml:space="preserve">. </w:t>
      </w:r>
      <w:r>
        <w:rPr>
          <w:lang w:val="en-US"/>
        </w:rPr>
        <w:t>Phys</w:t>
      </w:r>
      <w:r w:rsidRPr="000B6779">
        <w:t xml:space="preserve">: </w:t>
      </w:r>
      <w:r>
        <w:rPr>
          <w:lang w:val="en-US"/>
        </w:rPr>
        <w:t>Conf</w:t>
      </w:r>
      <w:r w:rsidRPr="000B6779">
        <w:t xml:space="preserve">. </w:t>
      </w:r>
      <w:r>
        <w:rPr>
          <w:lang w:val="en-US"/>
        </w:rPr>
        <w:t>Ser</w:t>
      </w:r>
      <w:r w:rsidRPr="000B6779">
        <w:t xml:space="preserve">. </w:t>
      </w:r>
      <w:r w:rsidRPr="00BF3797">
        <w:rPr>
          <w:b/>
        </w:rPr>
        <w:t>2055</w:t>
      </w:r>
      <w:r>
        <w:t>, 012014, 2021</w:t>
      </w:r>
      <w:r w:rsidRPr="000B6779">
        <w:t>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40"/>
      <w:footerReference w:type="even" r:id="rId41"/>
      <w:footerReference w:type="default" r:id="rId4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B50" w:rsidRDefault="00C82B50">
      <w:r>
        <w:separator/>
      </w:r>
    </w:p>
  </w:endnote>
  <w:endnote w:type="continuationSeparator" w:id="0">
    <w:p w:rsidR="00C82B50" w:rsidRDefault="00C82B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378A7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18A" w:rsidRDefault="007B518A">
    <w:pPr>
      <w:pStyle w:val="a4"/>
      <w:jc w:val="center"/>
    </w:pPr>
    <w:r>
      <w:rPr>
        <w:lang w:val="en-US"/>
      </w:rPr>
      <w:t>14</w:t>
    </w:r>
    <w:sdt>
      <w:sdtPr>
        <w:id w:val="90726172"/>
        <w:docPartObj>
          <w:docPartGallery w:val="Page Numbers (Bottom of Page)"/>
          <w:docPartUnique/>
        </w:docPartObj>
      </w:sdtPr>
      <w:sdtContent>
        <w:fldSimple w:instr=" PAGE   \* MERGEFORMAT ">
          <w:r w:rsidR="000C4D76">
            <w:rPr>
              <w:noProof/>
            </w:rPr>
            <w:t>1</w:t>
          </w:r>
        </w:fldSimple>
      </w:sdtContent>
    </w:sdt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B50" w:rsidRDefault="00C82B50">
      <w:r>
        <w:separator/>
      </w:r>
    </w:p>
  </w:footnote>
  <w:footnote w:type="continuationSeparator" w:id="0">
    <w:p w:rsidR="00C82B50" w:rsidRDefault="00C82B50">
      <w:r>
        <w:continuationSeparator/>
      </w:r>
    </w:p>
  </w:footnote>
  <w:footnote w:id="1">
    <w:p w:rsidR="000C4D76" w:rsidRPr="000C4D76" w:rsidRDefault="000C4D76">
      <w:pPr>
        <w:pStyle w:val="a9"/>
        <w:rPr>
          <w:lang w:val="en-US"/>
        </w:rPr>
      </w:pPr>
      <w:r>
        <w:rPr>
          <w:rStyle w:val="ab"/>
        </w:rPr>
        <w:t>*)</w:t>
      </w:r>
      <w:r>
        <w:t xml:space="preserve"> </w:t>
      </w:r>
      <w:hyperlink r:id="rId1" w:history="1">
        <w:r w:rsidRPr="000C4D76">
          <w:rPr>
            <w:rStyle w:val="a8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0C4D76">
      <w:rPr>
        <w:sz w:val="20"/>
      </w:rPr>
      <w:t>14</w:t>
    </w:r>
    <w:r w:rsidR="00C62CFE">
      <w:rPr>
        <w:sz w:val="20"/>
      </w:rPr>
      <w:t xml:space="preserve"> – </w:t>
    </w:r>
    <w:r w:rsidR="00C62CFE" w:rsidRPr="000C4D76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0C4D76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9378A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B518A"/>
    <w:rsid w:val="00037DCC"/>
    <w:rsid w:val="00043701"/>
    <w:rsid w:val="000C4D76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56A10"/>
    <w:rsid w:val="0066672D"/>
    <w:rsid w:val="006673EE"/>
    <w:rsid w:val="00683140"/>
    <w:rsid w:val="006A1743"/>
    <w:rsid w:val="006F68D0"/>
    <w:rsid w:val="00732A2E"/>
    <w:rsid w:val="007B518A"/>
    <w:rsid w:val="007B6378"/>
    <w:rsid w:val="00802D35"/>
    <w:rsid w:val="008B2961"/>
    <w:rsid w:val="008E2894"/>
    <w:rsid w:val="009352E6"/>
    <w:rsid w:val="009378A7"/>
    <w:rsid w:val="0094721E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82B50"/>
    <w:rsid w:val="00CA791E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0"/>
    <w:qFormat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qFormat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8">
    <w:name w:val="Hyperlink"/>
    <w:basedOn w:val="a0"/>
    <w:rsid w:val="008B2961"/>
    <w:rPr>
      <w:color w:val="0000FF" w:themeColor="hyperlink"/>
      <w:u w:val="single"/>
    </w:rPr>
  </w:style>
  <w:style w:type="character" w:customStyle="1" w:styleId="Zv-bodyreport0">
    <w:name w:val="Zv-body_report Знак"/>
    <w:basedOn w:val="a0"/>
    <w:link w:val="Zv-bodyreport"/>
    <w:rsid w:val="008B2961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7B518A"/>
    <w:rPr>
      <w:sz w:val="24"/>
      <w:szCs w:val="24"/>
    </w:rPr>
  </w:style>
  <w:style w:type="paragraph" w:styleId="a9">
    <w:name w:val="footnote text"/>
    <w:basedOn w:val="a"/>
    <w:link w:val="aa"/>
    <w:rsid w:val="000C4D76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0C4D76"/>
  </w:style>
  <w:style w:type="character" w:styleId="ab">
    <w:name w:val="footnote reference"/>
    <w:basedOn w:val="a0"/>
    <w:rsid w:val="000C4D7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gavrikov@yandex.ru" TargetMode="External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oleObject" Target="embeddings/oleObject15.bin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34" Type="http://schemas.openxmlformats.org/officeDocument/2006/relationships/image" Target="media/image13.wmf"/><Relationship Id="rId42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5.wmf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oleObject" Target="embeddings/oleObject10.bin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4.bin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10" Type="http://schemas.openxmlformats.org/officeDocument/2006/relationships/image" Target="media/image1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ayurskiy2001@mail.ru" TargetMode="Externa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9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3.bin"/><Relationship Id="rId43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Lt/en/EJ-Tayurskii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E987FD-65FC-421A-AAB0-D53436339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6</TotalTime>
  <Pages>1</Pages>
  <Words>308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ВЗАИМОДЕЙСТВИЕ НЕЛИНЕЙНЫХ БЕГУЩИХ ВОЛН В МГД С УЧЁТОМ ЭФФЕКТА ХОЛЛА</dc:title>
  <dc:creator/>
  <cp:lastModifiedBy>Сатунин</cp:lastModifiedBy>
  <cp:revision>3</cp:revision>
  <cp:lastPrinted>1601-01-01T00:00:00Z</cp:lastPrinted>
  <dcterms:created xsi:type="dcterms:W3CDTF">2022-03-04T20:41:00Z</dcterms:created>
  <dcterms:modified xsi:type="dcterms:W3CDTF">2022-03-30T19:14:00Z</dcterms:modified>
</cp:coreProperties>
</file>