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CC" w:rsidRPr="008F11CC" w:rsidRDefault="00B12F9A" w:rsidP="009D03C3">
      <w:pPr>
        <w:pStyle w:val="Zv-Titlereport"/>
        <w:ind w:left="284" w:right="282"/>
        <w:rPr>
          <w:lang w:val="en-US"/>
        </w:rPr>
      </w:pPr>
      <w:r w:rsidRPr="00B12F9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2.85pt;margin-top:-24.4pt;width:192pt;height:26.25pt;z-index:-251658752;mso-position-horizontal:absolute" stroked="f" strokecolor="red">
            <v:textbox style="mso-next-textbox:#_x0000_s1037">
              <w:txbxContent>
                <w:p w:rsidR="009D03C3" w:rsidRPr="0095603D" w:rsidRDefault="009D03C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D03C3">
                    <w:rPr>
                      <w:sz w:val="22"/>
                      <w:szCs w:val="22"/>
                    </w:rPr>
                    <w:t>10.34854/ICPAF.2022.49.1.094</w:t>
                  </w:r>
                </w:p>
              </w:txbxContent>
            </v:textbox>
            <w10:anchorlock/>
          </v:shape>
        </w:pict>
      </w:r>
      <w:r w:rsidR="008F11CC" w:rsidRPr="008F11CC">
        <w:rPr>
          <w:lang w:val="en-US"/>
        </w:rPr>
        <w:t>Ionization potentials of multicharged ions of iron group elements</w:t>
      </w:r>
      <w:r w:rsidR="009D03C3">
        <w:rPr>
          <w:lang w:val="en-US"/>
        </w:rPr>
        <w:t xml:space="preserve"> </w:t>
      </w:r>
      <w:r w:rsidR="009D03C3">
        <w:rPr>
          <w:rStyle w:val="a9"/>
          <w:lang w:val="en-US"/>
        </w:rPr>
        <w:footnoteReference w:customMarkFollows="1" w:id="1"/>
        <w:t>*)</w:t>
      </w:r>
    </w:p>
    <w:p w:rsidR="008F11CC" w:rsidRPr="00377735" w:rsidRDefault="008F11CC" w:rsidP="008F11CC">
      <w:pPr>
        <w:pStyle w:val="Zv-Author"/>
        <w:rPr>
          <w:lang w:val="en-US"/>
        </w:rPr>
      </w:pPr>
      <w:r>
        <w:rPr>
          <w:lang w:val="en-US"/>
        </w:rPr>
        <w:t>Shpatakovskaya</w:t>
      </w:r>
      <w:r w:rsidRPr="009854CD">
        <w:rPr>
          <w:lang w:val="en-US"/>
        </w:rPr>
        <w:t xml:space="preserve"> </w:t>
      </w:r>
      <w:r>
        <w:rPr>
          <w:lang w:val="en-US"/>
        </w:rPr>
        <w:t>G.V.</w:t>
      </w:r>
    </w:p>
    <w:p w:rsidR="008F11CC" w:rsidRPr="00377735" w:rsidRDefault="008F11CC" w:rsidP="008F11CC">
      <w:pPr>
        <w:pStyle w:val="Zv-Organization"/>
        <w:rPr>
          <w:lang w:val="en-US"/>
        </w:rPr>
      </w:pPr>
      <w:r w:rsidRPr="00377735">
        <w:rPr>
          <w:lang w:val="en-US"/>
        </w:rPr>
        <w:t xml:space="preserve">KIAM RAS, RF, Moscow, </w:t>
      </w:r>
      <w:hyperlink r:id="rId8" w:history="1">
        <w:r w:rsidRPr="008F11CC">
          <w:rPr>
            <w:color w:val="0617BA"/>
            <w:u w:val="single"/>
            <w:lang w:val="en-US"/>
          </w:rPr>
          <w:t>shpagalya@yandex.ru</w:t>
        </w:r>
      </w:hyperlink>
      <w:r w:rsidRPr="009854CD">
        <w:rPr>
          <w:lang w:val="en-US"/>
        </w:rPr>
        <w:t xml:space="preserve"> </w:t>
      </w:r>
    </w:p>
    <w:p w:rsidR="008F11CC" w:rsidRDefault="008F11CC" w:rsidP="008F11CC">
      <w:pPr>
        <w:pStyle w:val="Zv-bodyreport"/>
        <w:rPr>
          <w:lang w:val="en-US"/>
        </w:rPr>
      </w:pPr>
      <w:r w:rsidRPr="009D03C3">
        <w:rPr>
          <w:lang w:val="en-US"/>
        </w:rPr>
        <w:t xml:space="preserve">The available data [1] on the ionization potentials (energies) </w:t>
      </w:r>
      <w:r w:rsidRPr="00497302">
        <w:rPr>
          <w:position w:val="-12"/>
        </w:rPr>
        <w:object w:dxaOrig="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.75pt" o:ole="">
            <v:imagedata r:id="rId9" o:title=""/>
          </v:shape>
          <o:OLEObject Type="Embed" ProgID="Equation.3" ShapeID="_x0000_i1025" DrawAspect="Content" ObjectID="_1710169740" r:id="rId10"/>
        </w:object>
      </w:r>
      <w:r w:rsidRPr="009D03C3">
        <w:rPr>
          <w:lang w:val="en-US"/>
        </w:rPr>
        <w:t xml:space="preserve"> (eV) of the ions with the number of electrons </w:t>
      </w:r>
      <w:r w:rsidRPr="00497302">
        <w:rPr>
          <w:position w:val="-6"/>
        </w:rPr>
        <w:object w:dxaOrig="1279" w:dyaOrig="300">
          <v:shape id="_x0000_i1026" type="#_x0000_t75" style="width:63.75pt;height:15pt" o:ole="">
            <v:imagedata r:id="rId11" o:title=""/>
          </v:shape>
          <o:OLEObject Type="Embed" ProgID="Equation.3" ShapeID="_x0000_i1026" DrawAspect="Content" ObjectID="_1710169741" r:id="rId12"/>
        </w:object>
      </w:r>
      <w:r>
        <w:rPr>
          <w:lang w:val="en-US"/>
        </w:rPr>
        <w:t xml:space="preserve"> of the elements </w:t>
      </w:r>
      <w:r w:rsidRPr="009D03C3">
        <w:rPr>
          <w:lang w:val="en-US"/>
        </w:rPr>
        <w:t xml:space="preserve">with atomic numbers </w:t>
      </w:r>
      <w:r>
        <w:rPr>
          <w:i/>
          <w:color w:val="000000"/>
          <w:lang w:val="en-US"/>
        </w:rPr>
        <w:t>Z</w:t>
      </w:r>
      <w:r w:rsidRPr="009D03C3">
        <w:rPr>
          <w:lang w:val="en-US"/>
        </w:rPr>
        <w:t xml:space="preserve"> = 21, 25, 28 </w:t>
      </w:r>
      <w:r>
        <w:rPr>
          <w:lang w:val="en-US"/>
        </w:rPr>
        <w:t xml:space="preserve">are </w:t>
      </w:r>
      <w:r w:rsidRPr="009D03C3">
        <w:rPr>
          <w:lang w:val="en-US"/>
        </w:rPr>
        <w:t>considered. The ion energies are analyzed by the quasi-classical method [2] of isolating the dependence on the atomic number using the function</w:t>
      </w:r>
      <w:r>
        <w:rPr>
          <w:lang w:val="en-US"/>
        </w:rPr>
        <w:t>:</w:t>
      </w:r>
    </w:p>
    <w:p w:rsidR="008F11CC" w:rsidRDefault="008F11CC" w:rsidP="008F11CC">
      <w:pPr>
        <w:pStyle w:val="Zv-formula"/>
        <w:tabs>
          <w:tab w:val="clear" w:pos="3960"/>
          <w:tab w:val="center" w:pos="4536"/>
        </w:tabs>
        <w:jc w:val="right"/>
        <w:rPr>
          <w:rStyle w:val="Zv-Organization0"/>
          <w:i w:val="0"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497302">
        <w:rPr>
          <w:position w:val="-12"/>
        </w:rPr>
        <w:object w:dxaOrig="5840" w:dyaOrig="380">
          <v:shape id="_x0000_i1027" type="#_x0000_t75" style="width:285pt;height:18pt" o:ole="">
            <v:imagedata r:id="rId13" o:title=""/>
          </v:shape>
          <o:OLEObject Type="Embed" ProgID="Equation.3" ShapeID="_x0000_i1027" DrawAspect="Content" ObjectID="_1710169742" r:id="rId14"/>
        </w:object>
      </w:r>
      <w:r>
        <w:rPr>
          <w:lang w:val="en-US"/>
        </w:rPr>
        <w:t xml:space="preserve"> </w:t>
      </w:r>
      <w:r>
        <w:rPr>
          <w:lang w:val="en-US"/>
        </w:rPr>
        <w:tab/>
        <w:t>(1)</w:t>
      </w:r>
    </w:p>
    <w:p w:rsidR="008F11CC" w:rsidRPr="009854CD" w:rsidRDefault="008F11CC" w:rsidP="008F11CC">
      <w:pPr>
        <w:pStyle w:val="Zv-bodyreport"/>
        <w:rPr>
          <w:lang w:val="en-US"/>
        </w:rPr>
      </w:pPr>
      <w:r w:rsidRPr="008F11CC">
        <w:rPr>
          <w:lang w:val="en-US"/>
        </w:rPr>
        <w:t>In Fig.1, these data are represented in semi-logarithmic scale by symbols, and the lines correspond to linear polynomial approximation</w:t>
      </w:r>
      <w:r>
        <w:rPr>
          <w:lang w:val="en-US"/>
        </w:rPr>
        <w:t xml:space="preserve"> (</w:t>
      </w:r>
      <w:r w:rsidRPr="00497302">
        <w:rPr>
          <w:position w:val="-12"/>
        </w:rPr>
        <w:object w:dxaOrig="860" w:dyaOrig="380">
          <v:shape id="_x0000_i1028" type="#_x0000_t75" style="width:42.75pt;height:18.75pt" o:ole="">
            <v:imagedata r:id="rId15" o:title=""/>
          </v:shape>
          <o:OLEObject Type="Embed" ProgID="Equation.3" ShapeID="_x0000_i1028" DrawAspect="Content" ObjectID="_1710169743" r:id="rId16"/>
        </w:object>
      </w:r>
      <w:r>
        <w:rPr>
          <w:lang w:val="en-US"/>
        </w:rPr>
        <w:t xml:space="preserve">) </w:t>
      </w:r>
      <w:r w:rsidRPr="008F11CC">
        <w:rPr>
          <w:lang w:val="en-US"/>
        </w:rPr>
        <w:t xml:space="preserve">for </w:t>
      </w:r>
      <w:r>
        <w:rPr>
          <w:i/>
          <w:color w:val="000000"/>
          <w:lang w:val="en-US"/>
        </w:rPr>
        <w:t>K</w:t>
      </w:r>
      <w:r w:rsidRPr="008F11CC">
        <w:rPr>
          <w:lang w:val="en-US"/>
        </w:rPr>
        <w:t xml:space="preserve"> and </w:t>
      </w:r>
      <w:r>
        <w:rPr>
          <w:i/>
          <w:color w:val="000000"/>
          <w:lang w:val="en-US"/>
        </w:rPr>
        <w:t>L</w:t>
      </w:r>
      <w:r w:rsidRPr="008F11CC">
        <w:rPr>
          <w:lang w:val="en-US"/>
        </w:rPr>
        <w:t xml:space="preserve"> shells, and to quadratic one for </w:t>
      </w:r>
      <w:r>
        <w:rPr>
          <w:i/>
          <w:color w:val="000000"/>
          <w:lang w:val="en-US"/>
        </w:rPr>
        <w:t>M</w:t>
      </w:r>
      <w:r w:rsidRPr="008F11CC">
        <w:rPr>
          <w:lang w:val="en-US"/>
        </w:rPr>
        <w:t xml:space="preserve"> shell ( </w:t>
      </w:r>
      <w:r w:rsidRPr="00497302">
        <w:rPr>
          <w:position w:val="-12"/>
        </w:rPr>
        <w:object w:dxaOrig="900" w:dyaOrig="380">
          <v:shape id="_x0000_i1029" type="#_x0000_t75" style="width:32.25pt;height:18.75pt" o:ole="">
            <v:imagedata r:id="rId17" o:title=""/>
          </v:shape>
          <o:OLEObject Type="Embed" ProgID="Equation.3" ShapeID="_x0000_i1029" DrawAspect="Content" ObjectID="_1710169744" r:id="rId18"/>
        </w:object>
      </w:r>
      <w:r>
        <w:rPr>
          <w:lang w:val="en-US"/>
        </w:rPr>
        <w:t xml:space="preserve"> </w:t>
      </w:r>
      <w:r w:rsidRPr="008F11CC">
        <w:rPr>
          <w:lang w:val="en-US"/>
        </w:rPr>
        <w:t xml:space="preserve">): </w:t>
      </w:r>
      <w:r w:rsidRPr="00497302">
        <w:rPr>
          <w:position w:val="-32"/>
        </w:rPr>
        <w:object w:dxaOrig="1739" w:dyaOrig="780">
          <v:shape id="_x0000_i1030" type="#_x0000_t75" style="width:87pt;height:39pt" o:ole="">
            <v:imagedata r:id="rId19" o:title=""/>
          </v:shape>
          <o:OLEObject Type="Embed" ProgID="Equation.3" ShapeID="_x0000_i1030" DrawAspect="Content" ObjectID="_1710169745" r:id="rId20"/>
        </w:object>
      </w:r>
      <w:r>
        <w:rPr>
          <w:lang w:val="en-US"/>
        </w:rPr>
        <w:t xml:space="preserve">. </w:t>
      </w:r>
      <w:r w:rsidRPr="009D03C3">
        <w:rPr>
          <w:lang w:val="en-US"/>
        </w:rPr>
        <w:t>Thus, it is possible to restore the ionization potentials of the remaining elements of the iron group according to the formula</w:t>
      </w:r>
      <w:r w:rsidRPr="00497302">
        <w:rPr>
          <w:position w:val="-12"/>
        </w:rPr>
        <w:object w:dxaOrig="2540" w:dyaOrig="440">
          <v:shape id="_x0000_i1031" type="#_x0000_t75" style="width:126.75pt;height:21.75pt" o:ole="">
            <v:imagedata r:id="rId21" o:title=""/>
          </v:shape>
          <o:OLEObject Type="Embed" ProgID="Equation.3" ShapeID="_x0000_i1031" DrawAspect="Content" ObjectID="_1710169746" r:id="rId22"/>
        </w:object>
      </w:r>
      <w:r>
        <w:rPr>
          <w:lang w:val="en-US"/>
        </w:rPr>
        <w:t xml:space="preserve">. </w:t>
      </w:r>
      <w:r w:rsidRPr="009D03C3">
        <w:rPr>
          <w:lang w:val="en-US"/>
        </w:rPr>
        <w:t xml:space="preserve">However, in practice, information about the ionization potentials of ions of one element, depending on the number of electrons </w:t>
      </w:r>
      <w:r>
        <w:rPr>
          <w:i/>
          <w:color w:val="000000"/>
          <w:lang w:val="en-US"/>
        </w:rPr>
        <w:t>Ne</w:t>
      </w:r>
      <w:r w:rsidRPr="009D03C3">
        <w:rPr>
          <w:lang w:val="en-US"/>
        </w:rPr>
        <w:t xml:space="preserve"> in it, is more in demand. Fig.2 demonstrates the dependence of the coefficients </w:t>
      </w:r>
      <w:r w:rsidRPr="00497302">
        <w:rPr>
          <w:position w:val="-12"/>
        </w:rPr>
        <w:object w:dxaOrig="280" w:dyaOrig="380">
          <v:shape id="_x0000_i1032" type="#_x0000_t75" style="width:14.25pt;height:18.75pt" o:ole="">
            <v:imagedata r:id="rId23" o:title=""/>
          </v:shape>
          <o:OLEObject Type="Embed" ProgID="Equation.3" ShapeID="_x0000_i1032" DrawAspect="Content" ObjectID="_1710169747" r:id="rId24"/>
        </w:object>
      </w:r>
      <w:r w:rsidRPr="009D03C3">
        <w:rPr>
          <w:lang w:val="en-US"/>
        </w:rPr>
        <w:t xml:space="preserve"> on </w:t>
      </w:r>
      <w:r>
        <w:rPr>
          <w:i/>
          <w:color w:val="000000"/>
          <w:lang w:val="en-US"/>
        </w:rPr>
        <w:t>Ne</w:t>
      </w:r>
      <w:r w:rsidRPr="009D03C3">
        <w:rPr>
          <w:lang w:val="en-US"/>
        </w:rPr>
        <w:t xml:space="preserve"> in the </w:t>
      </w:r>
      <w:r>
        <w:rPr>
          <w:i/>
          <w:color w:val="000000"/>
          <w:lang w:val="en-US"/>
        </w:rPr>
        <w:t>M</w:t>
      </w:r>
      <w:r w:rsidRPr="009D03C3">
        <w:rPr>
          <w:lang w:val="en-US"/>
        </w:rPr>
        <w:t xml:space="preserve"> shell. Approximation of fragments of the monotone dependences </w:t>
      </w:r>
      <w:r w:rsidRPr="00497302">
        <w:rPr>
          <w:position w:val="-32"/>
        </w:rPr>
        <w:object w:dxaOrig="1639" w:dyaOrig="780">
          <v:shape id="_x0000_i1033" type="#_x0000_t75" style="width:81.75pt;height:39pt" o:ole="">
            <v:imagedata r:id="rId25" o:title=""/>
          </v:shape>
          <o:OLEObject Type="Embed" ProgID="Equation.3" ShapeID="_x0000_i1033" DrawAspect="Content" ObjectID="_1710169748" r:id="rId26"/>
        </w:object>
      </w:r>
      <w:r>
        <w:rPr>
          <w:lang w:val="en-US"/>
        </w:rPr>
        <w:t xml:space="preserve">, </w:t>
      </w:r>
      <w:r w:rsidRPr="009D03C3">
        <w:rPr>
          <w:lang w:val="en-US"/>
        </w:rPr>
        <w:t xml:space="preserve"> </w:t>
      </w:r>
      <w:r w:rsidRPr="00497302">
        <w:rPr>
          <w:position w:val="-32"/>
        </w:rPr>
        <w:object w:dxaOrig="2579" w:dyaOrig="780">
          <v:shape id="_x0000_i1034" type="#_x0000_t75" style="width:129pt;height:39pt" o:ole="">
            <v:imagedata r:id="rId27" o:title=""/>
          </v:shape>
          <o:OLEObject Type="Embed" ProgID="Equation.3" ShapeID="_x0000_i1034" DrawAspect="Content" ObjectID="_1710169749" r:id="rId28"/>
        </w:object>
      </w:r>
      <w:r w:rsidRPr="009D03C3">
        <w:rPr>
          <w:lang w:val="en-US"/>
        </w:rPr>
        <w:t xml:space="preserve"> and similar dependences for </w:t>
      </w:r>
      <w:r>
        <w:rPr>
          <w:i/>
          <w:color w:val="000000"/>
          <w:lang w:val="en-US"/>
        </w:rPr>
        <w:t>K</w:t>
      </w:r>
      <w:r w:rsidRPr="009D03C3">
        <w:rPr>
          <w:lang w:val="en-US"/>
        </w:rPr>
        <w:t xml:space="preserve"> and </w:t>
      </w:r>
      <w:r>
        <w:rPr>
          <w:i/>
          <w:color w:val="000000"/>
          <w:lang w:val="en-US"/>
        </w:rPr>
        <w:t>L</w:t>
      </w:r>
      <w:r w:rsidRPr="009D03C3">
        <w:rPr>
          <w:lang w:val="en-US"/>
        </w:rPr>
        <w:t xml:space="preserve"> shells allows an analytical description of the ionization energies of 144 ions with an error of the order of one percent based on a small table of coefficients  </w:t>
      </w:r>
      <w:r w:rsidRPr="00497302">
        <w:rPr>
          <w:position w:val="-12"/>
        </w:rPr>
        <w:object w:dxaOrig="340" w:dyaOrig="380">
          <v:shape id="_x0000_i1035" type="#_x0000_t75" style="width:17.25pt;height:18.75pt" o:ole="">
            <v:imagedata r:id="rId29" o:title=""/>
          </v:shape>
          <o:OLEObject Type="Embed" ProgID="Equation.3" ShapeID="_x0000_i1035" DrawAspect="Content" ObjectID="_1710169750" r:id="rId30"/>
        </w:object>
      </w:r>
      <w:r w:rsidRPr="009D03C3">
        <w:rPr>
          <w:lang w:val="en-US"/>
        </w:rPr>
        <w:t>.</w:t>
      </w:r>
    </w:p>
    <w:tbl>
      <w:tblPr>
        <w:tblW w:w="0" w:type="auto"/>
        <w:jc w:val="center"/>
        <w:tblLook w:val="04A0"/>
      </w:tblPr>
      <w:tblGrid>
        <w:gridCol w:w="4686"/>
        <w:gridCol w:w="4386"/>
      </w:tblGrid>
      <w:tr w:rsidR="008F11CC" w:rsidTr="005B2205">
        <w:trPr>
          <w:jc w:val="center"/>
        </w:trPr>
        <w:tc>
          <w:tcPr>
            <w:tcW w:w="0" w:type="auto"/>
            <w:hideMark/>
          </w:tcPr>
          <w:p w:rsidR="008F11CC" w:rsidRDefault="008F11CC" w:rsidP="005B2205">
            <w:pPr>
              <w:pStyle w:val="Zv-bodyreportcont"/>
            </w:pPr>
            <w:r>
              <w:rPr>
                <w:noProof/>
              </w:rPr>
              <w:drawing>
                <wp:inline distT="0" distB="0" distL="0" distR="0">
                  <wp:extent cx="2819400" cy="2505075"/>
                  <wp:effectExtent l="19050" t="0" r="0" b="0"/>
                  <wp:docPr id="12" name="Рисунок 12" descr="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F11CC" w:rsidRDefault="008F11CC" w:rsidP="005B2205">
            <w:pPr>
              <w:pStyle w:val="Zv-bodyreportcont"/>
            </w:pPr>
            <w:r>
              <w:rPr>
                <w:noProof/>
              </w:rPr>
              <w:drawing>
                <wp:inline distT="0" distB="0" distL="0" distR="0">
                  <wp:extent cx="2619375" cy="2324100"/>
                  <wp:effectExtent l="19050" t="0" r="9525" b="0"/>
                  <wp:docPr id="13" name="Рисунок 13" descr="Fi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1CC" w:rsidTr="005B2205">
        <w:trPr>
          <w:jc w:val="center"/>
        </w:trPr>
        <w:tc>
          <w:tcPr>
            <w:tcW w:w="0" w:type="auto"/>
            <w:hideMark/>
          </w:tcPr>
          <w:p w:rsidR="008F11CC" w:rsidRDefault="008F11CC" w:rsidP="005B2205">
            <w:pPr>
              <w:pStyle w:val="Zv-bodyreportcont"/>
              <w:jc w:val="center"/>
            </w:pPr>
            <w:r>
              <w:rPr>
                <w:lang w:val="en-US"/>
              </w:rPr>
              <w:t>Fig</w:t>
            </w:r>
            <w:r>
              <w:t>.1</w:t>
            </w:r>
          </w:p>
        </w:tc>
        <w:tc>
          <w:tcPr>
            <w:tcW w:w="0" w:type="auto"/>
            <w:hideMark/>
          </w:tcPr>
          <w:p w:rsidR="008F11CC" w:rsidRDefault="008F11CC" w:rsidP="005B2205">
            <w:pPr>
              <w:pStyle w:val="Zv-bodyreportcont"/>
              <w:jc w:val="center"/>
            </w:pPr>
            <w:r>
              <w:rPr>
                <w:lang w:val="en-US"/>
              </w:rPr>
              <w:t>Fig</w:t>
            </w:r>
            <w:r>
              <w:t>.2</w:t>
            </w:r>
          </w:p>
        </w:tc>
      </w:tr>
    </w:tbl>
    <w:p w:rsidR="008F11CC" w:rsidRDefault="008F11CC" w:rsidP="008F11CC">
      <w:pPr>
        <w:pStyle w:val="Zv-TitleReferences-en"/>
      </w:pPr>
      <w:r w:rsidRPr="009854CD">
        <w:rPr>
          <w:lang w:val="en-US"/>
        </w:rPr>
        <w:t xml:space="preserve"> </w:t>
      </w:r>
      <w:r>
        <w:rPr>
          <w:lang w:val="en-US"/>
        </w:rPr>
        <w:t>References</w:t>
      </w:r>
      <w:r w:rsidRPr="009854CD">
        <w:rPr>
          <w:lang w:val="en-US"/>
        </w:rPr>
        <w:t xml:space="preserve"> </w:t>
      </w:r>
    </w:p>
    <w:p w:rsidR="008F11CC" w:rsidRPr="009854CD" w:rsidRDefault="008F11CC" w:rsidP="008F11CC">
      <w:pPr>
        <w:pStyle w:val="Zv-References-en"/>
      </w:pPr>
      <w:r w:rsidRPr="009854CD">
        <w:t xml:space="preserve">Kramida, A., Ralchenko, Yu., Reader, J., and NIST ASD Team (2021). NIST Atomic Spectra Database (ver. 5.9), [Online]. Available: https://physics.nist.gov/asd [2021, November 6]. </w:t>
      </w:r>
    </w:p>
    <w:p w:rsidR="008F11CC" w:rsidRDefault="008F11CC" w:rsidP="008F11CC">
      <w:pPr>
        <w:pStyle w:val="Zv-References-en"/>
      </w:pPr>
      <w:r w:rsidRPr="009854CD">
        <w:t xml:space="preserve">Shpatakovskaya G.V.,  Phys. Usp. 62, 186 (2019) </w:t>
      </w:r>
    </w:p>
    <w:sectPr w:rsidR="008F11CC" w:rsidSect="00F95123">
      <w:headerReference w:type="default" r:id="rId33"/>
      <w:footerReference w:type="even" r:id="rId34"/>
      <w:footerReference w:type="default" r:id="rId3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C6" w:rsidRDefault="00EA42C6">
      <w:r>
        <w:separator/>
      </w:r>
    </w:p>
  </w:endnote>
  <w:endnote w:type="continuationSeparator" w:id="0">
    <w:p w:rsidR="00EA42C6" w:rsidRDefault="00EA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2F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12F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6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C6" w:rsidRDefault="00EA42C6">
      <w:r>
        <w:separator/>
      </w:r>
    </w:p>
  </w:footnote>
  <w:footnote w:type="continuationSeparator" w:id="0">
    <w:p w:rsidR="00EA42C6" w:rsidRDefault="00EA42C6">
      <w:r>
        <w:continuationSeparator/>
      </w:r>
    </w:p>
  </w:footnote>
  <w:footnote w:id="1">
    <w:p w:rsidR="009D03C3" w:rsidRPr="009D03C3" w:rsidRDefault="009D03C3">
      <w:pPr>
        <w:pStyle w:val="a7"/>
        <w:rPr>
          <w:lang w:val="en-US"/>
        </w:rPr>
      </w:pPr>
      <w:r w:rsidRPr="009D03C3">
        <w:rPr>
          <w:rStyle w:val="a9"/>
          <w:lang w:val="en-US"/>
        </w:rPr>
        <w:t>*)</w:t>
      </w:r>
      <w:r w:rsidRPr="009D03C3">
        <w:rPr>
          <w:lang w:val="en-US"/>
        </w:rPr>
        <w:t xml:space="preserve"> </w:t>
      </w:r>
      <w:hyperlink r:id="rId1" w:history="1">
        <w:r w:rsidRPr="009D03C3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B12F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376E"/>
    <w:rsid w:val="00043701"/>
    <w:rsid w:val="00081366"/>
    <w:rsid w:val="000C657D"/>
    <w:rsid w:val="000C7078"/>
    <w:rsid w:val="000D76E9"/>
    <w:rsid w:val="000E495B"/>
    <w:rsid w:val="0011376E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97302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D14C7"/>
    <w:rsid w:val="007E06CE"/>
    <w:rsid w:val="00802D35"/>
    <w:rsid w:val="008306AF"/>
    <w:rsid w:val="008520F9"/>
    <w:rsid w:val="008850EF"/>
    <w:rsid w:val="008F11CC"/>
    <w:rsid w:val="00906FF7"/>
    <w:rsid w:val="009D03C3"/>
    <w:rsid w:val="009D3AC4"/>
    <w:rsid w:val="00AE6185"/>
    <w:rsid w:val="00AF169F"/>
    <w:rsid w:val="00B12F9A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A42C6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1C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locked/>
    <w:rsid w:val="008F11CC"/>
    <w:rPr>
      <w:i/>
      <w:sz w:val="24"/>
    </w:rPr>
  </w:style>
  <w:style w:type="paragraph" w:styleId="a7">
    <w:name w:val="footnote text"/>
    <w:basedOn w:val="a"/>
    <w:link w:val="a8"/>
    <w:rsid w:val="009D03C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D03C3"/>
  </w:style>
  <w:style w:type="character" w:styleId="a9">
    <w:name w:val="footnote reference"/>
    <w:basedOn w:val="a0"/>
    <w:rsid w:val="009D03C3"/>
    <w:rPr>
      <w:vertAlign w:val="superscript"/>
    </w:rPr>
  </w:style>
  <w:style w:type="character" w:styleId="aa">
    <w:name w:val="Hyperlink"/>
    <w:basedOn w:val="a0"/>
    <w:rsid w:val="009D03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ru/EB-Shpatakovskay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2BAA-CE3E-4CF3-94ED-7FDD976A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10</TotalTime>
  <Pages>1</Pages>
  <Words>246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IONIZATION POTENTIALS OF MULTICHARGED IONS OF IRON GROUP ELEMENTS</dc:title>
  <dc:creator/>
  <cp:lastModifiedBy>Сатунин</cp:lastModifiedBy>
  <cp:revision>4</cp:revision>
  <cp:lastPrinted>1601-01-01T00:00:00Z</cp:lastPrinted>
  <dcterms:created xsi:type="dcterms:W3CDTF">2022-03-04T11:37:00Z</dcterms:created>
  <dcterms:modified xsi:type="dcterms:W3CDTF">2022-03-30T15:20:00Z</dcterms:modified>
</cp:coreProperties>
</file>