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9D" w:rsidRPr="00CF047B" w:rsidRDefault="007E439D" w:rsidP="00CF047B">
      <w:pPr>
        <w:pStyle w:val="Zv-Titlereport"/>
        <w:spacing w:line="226" w:lineRule="auto"/>
      </w:pPr>
      <w:r>
        <w:t>ИНДУСТРИИЯ ТЕРМОЯДЕРНОЙ ЭНЕРГИИ: ОТ МЕЧТЫ К РЕАЛЬНОСТИ</w:t>
      </w:r>
      <w:r w:rsidR="00CF047B" w:rsidRPr="00CF047B">
        <w:t xml:space="preserve"> </w:t>
      </w:r>
      <w:r w:rsidR="00CF047B">
        <w:rPr>
          <w:rStyle w:val="aa"/>
        </w:rPr>
        <w:footnoteReference w:customMarkFollows="1" w:id="1"/>
        <w:t>*)</w:t>
      </w:r>
    </w:p>
    <w:p w:rsidR="007E439D" w:rsidRDefault="007E439D" w:rsidP="00CF047B">
      <w:pPr>
        <w:pStyle w:val="Zv-Author"/>
        <w:spacing w:line="226" w:lineRule="auto"/>
      </w:pPr>
      <w:r>
        <w:t>Солдатова А.С.</w:t>
      </w:r>
    </w:p>
    <w:p w:rsidR="007E439D" w:rsidRPr="004A3F0E" w:rsidRDefault="007E439D" w:rsidP="00CF047B">
      <w:pPr>
        <w:pStyle w:val="Zv-Organization"/>
        <w:spacing w:line="226" w:lineRule="auto"/>
      </w:pPr>
      <w:r>
        <w:t xml:space="preserve">ПАО «НОВАТЭК», г. Тарко-Сале, Россия, </w:t>
      </w:r>
      <w:hyperlink r:id="rId8" w:history="1">
        <w:r w:rsidRPr="00D73144">
          <w:rPr>
            <w:rStyle w:val="a7"/>
            <w:lang w:val="en-GB"/>
          </w:rPr>
          <w:t>novatek</w:t>
        </w:r>
        <w:r w:rsidRPr="00D73144">
          <w:rPr>
            <w:rStyle w:val="a7"/>
            <w:lang w:val="en-US"/>
          </w:rPr>
          <w:t>l</w:t>
        </w:r>
        <w:r w:rsidRPr="00D73144">
          <w:rPr>
            <w:rStyle w:val="a7"/>
          </w:rPr>
          <w:t>@</w:t>
        </w:r>
        <w:r w:rsidRPr="00D73144">
          <w:rPr>
            <w:rStyle w:val="a7"/>
            <w:lang w:val="en-GB"/>
          </w:rPr>
          <w:t>novatek</w:t>
        </w:r>
        <w:r w:rsidRPr="00D73144">
          <w:rPr>
            <w:rStyle w:val="a7"/>
            <w:lang w:val="en-US"/>
          </w:rPr>
          <w:t>l</w:t>
        </w:r>
        <w:r w:rsidRPr="00D73144">
          <w:rPr>
            <w:rStyle w:val="a7"/>
          </w:rPr>
          <w:t>.</w:t>
        </w:r>
        <w:r w:rsidRPr="00D73144">
          <w:rPr>
            <w:rStyle w:val="a7"/>
            <w:lang w:val="en-US"/>
          </w:rPr>
          <w:t>ru</w:t>
        </w:r>
      </w:hyperlink>
    </w:p>
    <w:p w:rsidR="007E439D" w:rsidRDefault="007E439D" w:rsidP="00CF047B">
      <w:pPr>
        <w:pStyle w:val="Zv-bodyreport"/>
        <w:spacing w:line="226" w:lineRule="auto"/>
      </w:pPr>
      <w:r>
        <w:t>В работе обобщены и систематизированы условия инвестиционной привлекательности зарождающегося рынка термоядерной энергии. Фундаментальные успехи, достигнутые в области физики плазмы, а также глобальный тренд на декарбониацию стали основными драйверами развития частных коммерческих проектов термоядерного синтеза. На конец 2021 года независимая ассоциация компаний термоядерного синтеза насчитывала 23 организации, которым удалось привлечь более 4 млрд долл. США частных инвестиций.</w:t>
      </w:r>
    </w:p>
    <w:p w:rsidR="007E439D" w:rsidRDefault="007E439D" w:rsidP="00CF047B">
      <w:pPr>
        <w:pStyle w:val="Zv-bodyreport"/>
        <w:spacing w:line="226" w:lineRule="auto"/>
      </w:pPr>
      <w:r>
        <w:t>Увеличение мирового населения и соответствующий экономический рост приводят к пропорциональному наращиванию наших потребностей, в том числе в электроэнергии. Растущее потребление приводит к кратному увеличению выбросов парниковых газов в результате нашей жизнедеятельность, а это в свою очередь является основной причиной повышения средней температуры на планете. В этих условиях в рамках исполнения глобальных договоренностей Парижского соглашения с 2015 года мировая отрасль электроэнергетики взяла курс на декарбанизацию. Инвестиционные потоки и фокус инвесторов переориентировались на возобновляемые источники энергии, технологии по улавливанию и хранению СО2, технологические решения в области климата и т.д.</w:t>
      </w:r>
    </w:p>
    <w:p w:rsidR="007E439D" w:rsidRPr="00A52B18" w:rsidRDefault="007E439D" w:rsidP="00CF047B">
      <w:pPr>
        <w:pStyle w:val="Zv-bodyreport"/>
        <w:spacing w:line="226" w:lineRule="auto"/>
      </w:pPr>
      <w:r>
        <w:t>В данном контексте поиск технологии получения стабильной (не зависящий от наличия солнца, ветра и т.д.) и чистой (с минимальным карбоновым следом) энергии, с помощью которой можно будет обеспечить растущий спрос со стороны населения, приобретает все большую актуальность. В качестве такого источника энергии может выступить управляемый термоядерный синтез (УТС). В работе п</w:t>
      </w:r>
      <w:r w:rsidRPr="00874F90">
        <w:t>рив</w:t>
      </w:r>
      <w:r>
        <w:t>одятся</w:t>
      </w:r>
      <w:r w:rsidRPr="00874F90">
        <w:t xml:space="preserve"> мнения эксперт</w:t>
      </w:r>
      <w:r>
        <w:t>ного</w:t>
      </w:r>
      <w:r w:rsidRPr="00874F90">
        <w:t xml:space="preserve"> и инвестицион</w:t>
      </w:r>
      <w:r>
        <w:t>ного</w:t>
      </w:r>
      <w:r w:rsidRPr="00874F90">
        <w:t xml:space="preserve"> </w:t>
      </w:r>
      <w:r>
        <w:t>сообществ</w:t>
      </w:r>
      <w:r w:rsidRPr="00874F90">
        <w:t>,</w:t>
      </w:r>
      <w:r>
        <w:t xml:space="preserve"> а также примеры проектов, демонстрирующих, тот факт,</w:t>
      </w:r>
      <w:r w:rsidRPr="00874F90">
        <w:t xml:space="preserve"> что УТС является ответом на</w:t>
      </w:r>
      <w:r>
        <w:t xml:space="preserve"> вызовы</w:t>
      </w:r>
      <w:r w:rsidRPr="00874F90">
        <w:t xml:space="preserve"> глобального энергоперехода и энергетической безопасности</w:t>
      </w:r>
      <w:r>
        <w:t>.</w:t>
      </w:r>
    </w:p>
    <w:p w:rsidR="007E439D" w:rsidRDefault="007E439D" w:rsidP="00CF047B">
      <w:pPr>
        <w:pStyle w:val="Zv-bodyreport"/>
        <w:spacing w:line="226" w:lineRule="auto"/>
      </w:pPr>
      <w:r>
        <w:t>Большинство исследовательских программ и проектов в области синтеза финансируются за счет государственных средств, что накладывает свои ограничения на без того сложный предмет научных изысканий. В работе приводится оценка объемов финансирования таких проектов, а также различные подходы к государственному регулированию УТС.</w:t>
      </w:r>
    </w:p>
    <w:p w:rsidR="007E439D" w:rsidRDefault="007E439D" w:rsidP="00CF047B">
      <w:pPr>
        <w:pStyle w:val="Zv-bodyreport"/>
        <w:spacing w:line="226" w:lineRule="auto"/>
      </w:pPr>
      <w:r>
        <w:t xml:space="preserve">С другой стороны, частный капитал с гибким подходом и ограниченными ресурсами готов принять участие в решении задачи по созданию источника термоядерной энергии. В работе систематизированы данные о частных инвесторах: фондах прямых инвестиций, венчурных фондах, а также инвестиционных фондах крупных нефтегазовых компаний. Также приводятся мнения инвесторов о парадигме развития УТС, в качестве временного </w:t>
      </w:r>
      <w:r w:rsidRPr="002530CA">
        <w:t>ориентира многие компании отрасли термоядерного синтеза ставят для себя 30-е годы XXI века, момент, когда будут готовы первые пилотные коммерческие электростанции.</w:t>
      </w:r>
    </w:p>
    <w:p w:rsidR="007E439D" w:rsidRDefault="007E439D" w:rsidP="00CF047B">
      <w:pPr>
        <w:pStyle w:val="Zv-bodyreport"/>
        <w:spacing w:line="226" w:lineRule="auto"/>
      </w:pPr>
      <w:r>
        <w:t xml:space="preserve">Представленный в работе обзор международной инвестиционной активности полезен для интенсификации финансирования термоядерных исследований в Российской Федерации, которая в состоянии занять достойное место на рынке термоядерной энергии с учетом уже накопленного опыта международного сотрудничества в таких проектах как ИТЭР или </w:t>
      </w:r>
      <w:r w:rsidRPr="006738D8">
        <w:t>IGNITOR</w:t>
      </w:r>
      <w:r>
        <w:t>. Кроме того, рассматриваемый подход государственно-частного партнерства также может применяться для развития частных российских инициатив в области УТС.</w:t>
      </w:r>
    </w:p>
    <w:p w:rsidR="007E439D" w:rsidRDefault="007E439D" w:rsidP="00CF047B">
      <w:pPr>
        <w:pStyle w:val="Zv-bodyreport"/>
        <w:spacing w:line="226" w:lineRule="auto"/>
      </w:pPr>
      <w:r>
        <w:t xml:space="preserve">Данная работа представляет интерес для физиков, инженеров и управленческих кадров, работающих в области управляемого термоядерного синтеза. </w:t>
      </w:r>
    </w:p>
    <w:p w:rsidR="007E439D" w:rsidRPr="00FC4101" w:rsidRDefault="007E439D" w:rsidP="00CF047B">
      <w:pPr>
        <w:pStyle w:val="Zv-TitleReferences-ru"/>
        <w:spacing w:line="226" w:lineRule="auto"/>
        <w:rPr>
          <w:lang w:val="en-US"/>
        </w:rPr>
      </w:pPr>
      <w:r>
        <w:t>Литература</w:t>
      </w:r>
    </w:p>
    <w:p w:rsidR="007E439D" w:rsidRDefault="00703C5D" w:rsidP="00CF047B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hyperlink r:id="rId9" w:history="1">
        <w:r w:rsidR="007E439D" w:rsidRPr="00FC4101">
          <w:rPr>
            <w:lang w:val="en-US"/>
          </w:rPr>
          <w:t>Samuel E. Wurzel</w:t>
        </w:r>
      </w:hyperlink>
      <w:r w:rsidR="007E439D" w:rsidRPr="00FC4101">
        <w:rPr>
          <w:lang w:val="en-US"/>
        </w:rPr>
        <w:t>, </w:t>
      </w:r>
      <w:hyperlink r:id="rId10" w:history="1">
        <w:r w:rsidR="007E439D" w:rsidRPr="00FC4101">
          <w:rPr>
            <w:lang w:val="en-US"/>
          </w:rPr>
          <w:t>Scott C. Hsu</w:t>
        </w:r>
      </w:hyperlink>
      <w:r w:rsidR="007E439D" w:rsidRPr="00FC4101">
        <w:rPr>
          <w:lang w:val="en-US"/>
        </w:rPr>
        <w:t>. Progress toward fusion energy breakeven and gain as measured against the Lawson criterion</w:t>
      </w:r>
      <w:bookmarkStart w:id="0" w:name="bau1"/>
    </w:p>
    <w:p w:rsidR="007E439D" w:rsidRPr="006629E1" w:rsidRDefault="00703C5D" w:rsidP="00CF047B">
      <w:pPr>
        <w:pStyle w:val="Zv-References-ru"/>
        <w:widowControl w:val="0"/>
        <w:numPr>
          <w:ilvl w:val="0"/>
          <w:numId w:val="1"/>
        </w:numPr>
        <w:spacing w:line="226" w:lineRule="auto"/>
        <w:rPr>
          <w:lang w:val="en-US"/>
        </w:rPr>
      </w:pPr>
      <w:hyperlink r:id="rId11" w:anchor="!" w:history="1">
        <w:r w:rsidR="007E439D" w:rsidRPr="006629E1">
          <w:rPr>
            <w:lang w:val="en-US"/>
          </w:rPr>
          <w:t>Slavomir Entler,</w:t>
        </w:r>
      </w:hyperlink>
      <w:bookmarkStart w:id="1" w:name="bau2"/>
      <w:bookmarkEnd w:id="0"/>
      <w:r w:rsidR="007E439D" w:rsidRPr="006629E1">
        <w:rPr>
          <w:lang w:val="en-US"/>
        </w:rPr>
        <w:t xml:space="preserve"> </w:t>
      </w:r>
      <w:hyperlink r:id="rId12" w:anchor="!" w:history="1">
        <w:r w:rsidR="007E439D" w:rsidRPr="006629E1">
          <w:rPr>
            <w:lang w:val="en-US"/>
          </w:rPr>
          <w:t>Jan Horacek,</w:t>
        </w:r>
      </w:hyperlink>
      <w:bookmarkStart w:id="2" w:name="bau3"/>
      <w:bookmarkEnd w:id="1"/>
      <w:r w:rsidR="007E439D" w:rsidRPr="006629E1">
        <w:rPr>
          <w:lang w:val="en-US"/>
        </w:rPr>
        <w:t xml:space="preserve"> </w:t>
      </w:r>
      <w:hyperlink r:id="rId13" w:anchor="!" w:history="1">
        <w:r w:rsidR="007E439D" w:rsidRPr="006629E1">
          <w:rPr>
            <w:lang w:val="en-US"/>
          </w:rPr>
          <w:t xml:space="preserve">Tomas Dlouhy, </w:t>
        </w:r>
      </w:hyperlink>
      <w:bookmarkStart w:id="3" w:name="bau4"/>
      <w:bookmarkEnd w:id="2"/>
      <w:r w:rsidRPr="006629E1">
        <w:rPr>
          <w:lang w:val="en-US"/>
        </w:rPr>
        <w:fldChar w:fldCharType="begin"/>
      </w:r>
      <w:r w:rsidR="007E439D" w:rsidRPr="006629E1">
        <w:rPr>
          <w:lang w:val="en-US"/>
        </w:rPr>
        <w:instrText xml:space="preserve"> HYPERLINK "https://www.sciencedirect.com/science/article/pii/S0360544218305395" \l "!" </w:instrText>
      </w:r>
      <w:r w:rsidRPr="006629E1">
        <w:rPr>
          <w:lang w:val="en-US"/>
        </w:rPr>
        <w:fldChar w:fldCharType="separate"/>
      </w:r>
      <w:r w:rsidR="007E439D" w:rsidRPr="006629E1">
        <w:rPr>
          <w:lang w:val="en-US"/>
        </w:rPr>
        <w:t>Vaclav Dostal.</w:t>
      </w:r>
      <w:r w:rsidRPr="006629E1">
        <w:rPr>
          <w:lang w:val="en-US"/>
        </w:rPr>
        <w:fldChar w:fldCharType="end"/>
      </w:r>
      <w:bookmarkEnd w:id="3"/>
      <w:r w:rsidR="007E439D" w:rsidRPr="006629E1">
        <w:rPr>
          <w:lang w:val="en-US"/>
        </w:rPr>
        <w:t xml:space="preserve"> Approximation of the economy </w:t>
      </w:r>
      <w:r w:rsidR="007E439D" w:rsidRPr="006629E1">
        <w:rPr>
          <w:lang w:val="en-US"/>
        </w:rPr>
        <w:lastRenderedPageBreak/>
        <w:t>of fusion energy</w:t>
      </w:r>
    </w:p>
    <w:sectPr w:rsidR="007E439D" w:rsidRPr="006629E1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11" w:rsidRDefault="003B3F11">
      <w:r>
        <w:separator/>
      </w:r>
    </w:p>
  </w:endnote>
  <w:endnote w:type="continuationSeparator" w:id="0">
    <w:p w:rsidR="003B3F11" w:rsidRDefault="003B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3C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3C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47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11" w:rsidRDefault="003B3F11">
      <w:r>
        <w:separator/>
      </w:r>
    </w:p>
  </w:footnote>
  <w:footnote w:type="continuationSeparator" w:id="0">
    <w:p w:rsidR="003B3F11" w:rsidRDefault="003B3F11">
      <w:r>
        <w:continuationSeparator/>
      </w:r>
    </w:p>
  </w:footnote>
  <w:footnote w:id="1">
    <w:p w:rsidR="00CF047B" w:rsidRPr="00CF047B" w:rsidRDefault="00CF047B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F047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CF047B">
      <w:rPr>
        <w:sz w:val="20"/>
      </w:rPr>
      <w:t>14</w:t>
    </w:r>
    <w:r w:rsidR="00C62CFE">
      <w:rPr>
        <w:sz w:val="20"/>
      </w:rPr>
      <w:t xml:space="preserve"> – </w:t>
    </w:r>
    <w:r w:rsidR="00C62CFE" w:rsidRPr="00CF047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CF047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03C5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3F1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3F11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03C5D"/>
    <w:rsid w:val="00732A2E"/>
    <w:rsid w:val="007B6378"/>
    <w:rsid w:val="007E439D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CF047B"/>
    <w:rsid w:val="00D47F19"/>
    <w:rsid w:val="00DA4715"/>
    <w:rsid w:val="00DE16AD"/>
    <w:rsid w:val="00DF1C1D"/>
    <w:rsid w:val="00DF6D4D"/>
    <w:rsid w:val="00E1331D"/>
    <w:rsid w:val="00E637E8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E439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F047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F047B"/>
  </w:style>
  <w:style w:type="character" w:styleId="aa">
    <w:name w:val="footnote reference"/>
    <w:basedOn w:val="a0"/>
    <w:rsid w:val="00CF04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tekl@novatekl.ru" TargetMode="External"/><Relationship Id="rId13" Type="http://schemas.openxmlformats.org/officeDocument/2006/relationships/hyperlink" Target="https://www.sciencedirect.com/science/article/pii/S036054421830539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03605442183053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3605442183053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rxiv.org/search/physics?searchtype=author&amp;query=Hsu%2C+S+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xiv.org/search/physics?searchtype=author&amp;query=Wurzel%2C+S+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P-Soldat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3AE49-06A6-47BD-92E3-98DE412E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456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ИНДУСТРИИЯ ТЕРМОЯДЕРНОЙ ЭНЕРГИИ: ОТ МЕЧТЫ К РЕАЛЬНОСТИ</dc:title>
  <dc:creator/>
  <cp:lastModifiedBy>Сатунин</cp:lastModifiedBy>
  <cp:revision>2</cp:revision>
  <cp:lastPrinted>1601-01-01T00:00:00Z</cp:lastPrinted>
  <dcterms:created xsi:type="dcterms:W3CDTF">2022-04-04T16:40:00Z</dcterms:created>
  <dcterms:modified xsi:type="dcterms:W3CDTF">2022-04-04T17:09:00Z</dcterms:modified>
</cp:coreProperties>
</file>