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E1" w:rsidRDefault="009E09E1" w:rsidP="009E09E1">
      <w:pPr>
        <w:pStyle w:val="Zv-Titlereport"/>
      </w:pPr>
      <w:bookmarkStart w:id="0" w:name="_Hlk467514653"/>
      <w:bookmarkStart w:id="1" w:name="OLE_LINK19"/>
      <w:bookmarkStart w:id="2" w:name="OLE_LINK20"/>
      <w:r w:rsidRPr="0075334F">
        <w:t>МЕГАВАТТНЫЙ ГЕНЕРАТОР НИЗКОТЕМПЕРАТУРНОЙ ПЛАЗМЫ ПОСТОЯННОГО ТОКА С РАСШИРЯЮЩИМИСЯ КАНАЛАМИ ГАЗОРАЗРЯДНОГО ТРАКТА</w:t>
      </w:r>
      <w:bookmarkEnd w:id="1"/>
      <w:bookmarkEnd w:id="2"/>
    </w:p>
    <w:p w:rsidR="009E09E1" w:rsidRPr="00B777ED" w:rsidRDefault="009E09E1" w:rsidP="009E09E1">
      <w:pPr>
        <w:spacing w:after="120"/>
        <w:jc w:val="center"/>
        <w:rPr>
          <w:rFonts w:ascii="Zv-Author" w:eastAsia="Calibri" w:hAnsi="Zv-Author"/>
        </w:rPr>
      </w:pPr>
      <w:r w:rsidRPr="00B777ED">
        <w:rPr>
          <w:rFonts w:ascii="Zv-Author" w:eastAsia="Calibri" w:hAnsi="Zv-Author"/>
        </w:rPr>
        <w:t xml:space="preserve">Гаджиев М.Х., Исакаев Э.Х., Тюфтяев А.С., Юсупов Д.И., </w:t>
      </w:r>
      <w:r w:rsidRPr="00B777ED">
        <w:rPr>
          <w:rFonts w:ascii="Zv-Author" w:eastAsia="Calibri" w:hAnsi="Zv-Author"/>
          <w:u w:val="single"/>
        </w:rPr>
        <w:t>Саргсян М.А.</w:t>
      </w:r>
    </w:p>
    <w:p w:rsidR="009E09E1" w:rsidRPr="00B777ED" w:rsidRDefault="009E09E1" w:rsidP="009E09E1">
      <w:pPr>
        <w:pStyle w:val="Zv-Organization"/>
        <w:rPr>
          <w:rFonts w:ascii="Zv-Organization" w:hAnsi="Zv-Organization"/>
        </w:rPr>
      </w:pPr>
      <w:bookmarkStart w:id="3" w:name="_Hlk466912501"/>
      <w:r w:rsidRPr="002F20E6">
        <w:rPr>
          <w:szCs w:val="24"/>
        </w:rPr>
        <w:t>Объединенный институт высоких температур РАН, г. Москва, Россия</w:t>
      </w:r>
      <w:bookmarkEnd w:id="3"/>
      <w:r w:rsidRPr="00B777ED">
        <w:rPr>
          <w:rFonts w:ascii="Zv-Organization" w:hAnsi="Zv-Organization"/>
        </w:rPr>
        <w:t xml:space="preserve">, </w:t>
      </w:r>
      <w:hyperlink r:id="rId7" w:history="1">
        <w:r w:rsidRPr="00B777ED">
          <w:rPr>
            <w:rStyle w:val="a8"/>
            <w:rFonts w:ascii="Zv-Organization" w:hAnsi="Zv-Organization"/>
          </w:rPr>
          <w:t>m.sargsyan86@mail.ru</w:t>
        </w:r>
      </w:hyperlink>
    </w:p>
    <w:bookmarkEnd w:id="0"/>
    <w:p w:rsidR="009E09E1" w:rsidRDefault="009E09E1" w:rsidP="009E09E1">
      <w:pPr>
        <w:pStyle w:val="Zv-Organization"/>
        <w:spacing w:before="0" w:after="0"/>
        <w:ind w:left="0" w:firstLine="284"/>
        <w:jc w:val="both"/>
        <w:rPr>
          <w:bCs/>
          <w:i w:val="0"/>
          <w:iCs/>
        </w:rPr>
      </w:pPr>
      <w:r w:rsidRPr="006E6352">
        <w:rPr>
          <w:bCs/>
          <w:i w:val="0"/>
          <w:iCs/>
        </w:rPr>
        <w:t>Генераторы низкотемпературной плазмы (ГНП) находят все более широкое применение в промышленности, плазмохимии, плазменной технологии обработки материалов и нанесения покрытий, в уничтожении токсичных отходов и синтезе наноматериалов, а также в исследованиях сублимации тепловой защиты.</w:t>
      </w:r>
    </w:p>
    <w:p w:rsidR="009E09E1" w:rsidRDefault="009E09E1" w:rsidP="009E09E1">
      <w:pPr>
        <w:pStyle w:val="Zv-bodyreport"/>
        <w:rPr>
          <w:bCs/>
        </w:rPr>
      </w:pPr>
      <w:r w:rsidRPr="00F74F80">
        <w:t xml:space="preserve">В последние годы большой интерес для науки и техники </w:t>
      </w:r>
      <w:r>
        <w:t xml:space="preserve">представляют </w:t>
      </w:r>
      <w:r w:rsidRPr="00F74F80">
        <w:t>ГНП большой мощности для исследования электрофизических</w:t>
      </w:r>
      <w:r>
        <w:t xml:space="preserve"> и электрохимических</w:t>
      </w:r>
      <w:r w:rsidRPr="00F74F80">
        <w:t xml:space="preserve"> свойств газов и </w:t>
      </w:r>
      <w:r>
        <w:t>промышленности</w:t>
      </w:r>
      <w:r w:rsidRPr="00F74F80">
        <w:t xml:space="preserve">, например, </w:t>
      </w:r>
      <w:r>
        <w:t>в</w:t>
      </w:r>
      <w:r w:rsidRPr="00F74F80">
        <w:t xml:space="preserve"> металлургии для поддержания температуры</w:t>
      </w:r>
      <w:r>
        <w:t xml:space="preserve"> жидкой стали</w:t>
      </w:r>
      <w:r w:rsidRPr="00F74F80">
        <w:t xml:space="preserve"> в промежуточном ковше</w:t>
      </w:r>
      <w:r w:rsidRPr="00345EBB">
        <w:t xml:space="preserve"> [</w:t>
      </w:r>
      <w:r w:rsidRPr="00763CCC">
        <w:t>1</w:t>
      </w:r>
      <w:r w:rsidRPr="00345EBB">
        <w:t>]</w:t>
      </w:r>
      <w:r w:rsidRPr="00F74F80">
        <w:t>.</w:t>
      </w:r>
      <w:r>
        <w:t xml:space="preserve"> </w:t>
      </w:r>
      <w:r w:rsidRPr="00051BC1">
        <w:rPr>
          <w:bCs/>
        </w:rPr>
        <w:t xml:space="preserve">Часть тепла от жидкого металла в процессе разливки теряется излучением, теплоотводом в футеровку и конвекцией. </w:t>
      </w:r>
      <w:r>
        <w:rPr>
          <w:bCs/>
        </w:rPr>
        <w:t xml:space="preserve">Для компенсации этих потерь </w:t>
      </w:r>
      <w:r w:rsidRPr="00051BC1">
        <w:rPr>
          <w:bCs/>
        </w:rPr>
        <w:t xml:space="preserve"> металл перегревают в </w:t>
      </w:r>
      <w:r>
        <w:rPr>
          <w:bCs/>
        </w:rPr>
        <w:t>сталеплавильном агрегате</w:t>
      </w:r>
      <w:r w:rsidRPr="00051BC1">
        <w:rPr>
          <w:bCs/>
        </w:rPr>
        <w:t xml:space="preserve">, что в целом повышает </w:t>
      </w:r>
      <w:r w:rsidRPr="00351D9A">
        <w:rPr>
          <w:bCs/>
        </w:rPr>
        <w:t>затраты и снижает производительность процесса.</w:t>
      </w:r>
    </w:p>
    <w:p w:rsidR="009E09E1" w:rsidRDefault="009E09E1" w:rsidP="009E09E1">
      <w:pPr>
        <w:pStyle w:val="Zv-bodyreport"/>
      </w:pPr>
      <w:r w:rsidRPr="00445E20">
        <w:t xml:space="preserve">В связи с этим основной целью работы является разработка эффективного </w:t>
      </w:r>
      <w:r>
        <w:t xml:space="preserve">мегаваттного </w:t>
      </w:r>
      <w:r w:rsidRPr="005B66D5">
        <w:t>высокоресурсного ГНП для, например, подогрева металла в промежуточном ковше и исследование параметров получаемого на выходе плазменного потока.</w:t>
      </w:r>
      <w:r>
        <w:t xml:space="preserve"> Н</w:t>
      </w:r>
      <w:r w:rsidRPr="00F74F80">
        <w:t>аиболее устойчив</w:t>
      </w:r>
      <w:r>
        <w:t>ый режим работы</w:t>
      </w:r>
      <w:r w:rsidRPr="00F74F80">
        <w:t xml:space="preserve"> и </w:t>
      </w:r>
      <w:r>
        <w:t>максимальный</w:t>
      </w:r>
      <w:r w:rsidRPr="00F74F80">
        <w:t xml:space="preserve"> </w:t>
      </w:r>
      <w:r>
        <w:t>ресурс</w:t>
      </w:r>
      <w:r w:rsidRPr="00F74F80">
        <w:t xml:space="preserve"> имеют </w:t>
      </w:r>
      <w:r>
        <w:t>ГНП</w:t>
      </w:r>
      <w:r w:rsidRPr="00F74F80">
        <w:t xml:space="preserve"> </w:t>
      </w:r>
      <w:r>
        <w:t>при</w:t>
      </w:r>
      <w:r w:rsidRPr="00F74F80">
        <w:t xml:space="preserve"> </w:t>
      </w:r>
      <w:r>
        <w:t>использовании</w:t>
      </w:r>
      <w:r w:rsidRPr="00F74F80">
        <w:t xml:space="preserve"> в качестве плазмообразующего газа</w:t>
      </w:r>
      <w:r w:rsidRPr="00D50E68">
        <w:t xml:space="preserve"> </w:t>
      </w:r>
      <w:r w:rsidRPr="00F74F80">
        <w:t>аргона</w:t>
      </w:r>
      <w:r>
        <w:t xml:space="preserve">, а наибольший тепловой КПД достигается в электродуговых плазмотронах постоянного тока </w:t>
      </w:r>
      <w:r w:rsidRPr="00A94804">
        <w:t>[2</w:t>
      </w:r>
      <w:r>
        <w:t> – </w:t>
      </w:r>
      <w:r w:rsidRPr="00A94804">
        <w:t>5]</w:t>
      </w:r>
      <w:r>
        <w:t xml:space="preserve">. Поэтому за основу мегаваттного ГНП были взяты разработки и исследования плазмотронов постоянного тока с расширяющимся каналом выходного электрода различной мощности, преимущества которых перед плазмотронами с </w:t>
      </w:r>
      <w:r w:rsidRPr="001429CA">
        <w:rPr>
          <w:rFonts w:eastAsia="Calibri"/>
          <w:bCs/>
        </w:rPr>
        <w:t>каналом постоянного сечения</w:t>
      </w:r>
      <w:r>
        <w:t xml:space="preserve"> заключаются в </w:t>
      </w:r>
      <w:r>
        <w:rPr>
          <w:rFonts w:eastAsia="Calibri"/>
          <w:bCs/>
        </w:rPr>
        <w:t>высоком</w:t>
      </w:r>
      <w:r w:rsidRPr="003A052B">
        <w:rPr>
          <w:rFonts w:eastAsia="Calibri"/>
          <w:bCs/>
        </w:rPr>
        <w:t xml:space="preserve"> КПД, повышени</w:t>
      </w:r>
      <w:r>
        <w:rPr>
          <w:bCs/>
        </w:rPr>
        <w:t>и</w:t>
      </w:r>
      <w:r w:rsidRPr="003A052B">
        <w:rPr>
          <w:rFonts w:eastAsia="Calibri"/>
          <w:bCs/>
        </w:rPr>
        <w:t xml:space="preserve"> стабильности и ресурса работы </w:t>
      </w:r>
      <w:r>
        <w:rPr>
          <w:rFonts w:eastAsia="Calibri"/>
          <w:bCs/>
        </w:rPr>
        <w:t>устройства</w:t>
      </w:r>
      <w:r w:rsidRPr="003A052B">
        <w:t xml:space="preserve"> </w:t>
      </w:r>
      <w:r w:rsidRPr="000B0DD4">
        <w:t>[</w:t>
      </w:r>
      <w:r>
        <w:t>6, 7</w:t>
      </w:r>
      <w:r w:rsidRPr="000B0DD4">
        <w:t>].</w:t>
      </w:r>
    </w:p>
    <w:p w:rsidR="009E09E1" w:rsidRDefault="009E09E1" w:rsidP="009E09E1">
      <w:pPr>
        <w:pStyle w:val="Zv-bodyreport"/>
      </w:pPr>
      <w:r>
        <w:rPr>
          <w:rFonts w:eastAsia="Calibri"/>
        </w:rPr>
        <w:t>Таким образом, р</w:t>
      </w:r>
      <w:r w:rsidRPr="006D002C">
        <w:rPr>
          <w:rFonts w:eastAsia="Calibri"/>
        </w:rPr>
        <w:t xml:space="preserve">азработана оригинальная </w:t>
      </w:r>
      <w:r>
        <w:t xml:space="preserve">двухузловая </w:t>
      </w:r>
      <w:r w:rsidRPr="006D002C">
        <w:rPr>
          <w:rFonts w:eastAsia="Calibri"/>
        </w:rPr>
        <w:t xml:space="preserve">конструкция </w:t>
      </w:r>
      <w:r>
        <w:t>мегаваттного генератора низкотемпературной плазмы аргона</w:t>
      </w:r>
      <w:r w:rsidRPr="006D002C">
        <w:rPr>
          <w:rFonts w:eastAsia="Calibri"/>
        </w:rPr>
        <w:t xml:space="preserve">, включающая </w:t>
      </w:r>
      <w:r>
        <w:t xml:space="preserve">катод, </w:t>
      </w:r>
      <w:r w:rsidRPr="006D002C">
        <w:rPr>
          <w:rFonts w:eastAsia="Calibri"/>
        </w:rPr>
        <w:t>полый анод и сопл</w:t>
      </w:r>
      <w:r>
        <w:t>а</w:t>
      </w:r>
      <w:r w:rsidRPr="006D002C">
        <w:rPr>
          <w:rFonts w:eastAsia="Calibri"/>
        </w:rPr>
        <w:t xml:space="preserve"> с расширяющимся каналом</w:t>
      </w:r>
      <w:r>
        <w:rPr>
          <w:rFonts w:eastAsia="Calibri"/>
        </w:rPr>
        <w:t xml:space="preserve">, что </w:t>
      </w:r>
      <w:r>
        <w:t>позволило получить высокоэнтальпийный плазменный поток со среднемассовой температурой 10</w:t>
      </w:r>
      <w:r>
        <w:rPr>
          <w:lang w:val="en-US"/>
        </w:rPr>
        <w:t> </w:t>
      </w:r>
      <w:r>
        <w:t>000</w:t>
      </w:r>
      <w:r>
        <w:rPr>
          <w:lang w:val="en-US"/>
        </w:rPr>
        <w:t> </w:t>
      </w:r>
      <w:r>
        <w:t>÷</w:t>
      </w:r>
      <w:r>
        <w:rPr>
          <w:lang w:val="en-US"/>
        </w:rPr>
        <w:t> </w:t>
      </w:r>
      <w:r>
        <w:t>17</w:t>
      </w:r>
      <w:r>
        <w:rPr>
          <w:lang w:val="en-US"/>
        </w:rPr>
        <w:t> </w:t>
      </w:r>
      <w:r>
        <w:t xml:space="preserve">000 </w:t>
      </w:r>
      <w:r>
        <w:rPr>
          <w:lang w:val="en-US"/>
        </w:rPr>
        <w:t>K</w:t>
      </w:r>
      <w:r>
        <w:t xml:space="preserve"> и концентрацией электронов в приосевой области плазмы до </w:t>
      </w:r>
      <w:r w:rsidRPr="00230371">
        <w:rPr>
          <w:color w:val="000000"/>
        </w:rPr>
        <w:t>9</w:t>
      </w:r>
      <w:r>
        <w:rPr>
          <w:color w:val="000000"/>
          <w:lang w:val="en-US"/>
        </w:rPr>
        <w:t> </w:t>
      </w:r>
      <w:r>
        <w:rPr>
          <w:color w:val="000000"/>
        </w:rPr>
        <w:t>×</w:t>
      </w:r>
      <w:r>
        <w:rPr>
          <w:color w:val="000000"/>
          <w:lang w:val="en-US"/>
        </w:rPr>
        <w:t> </w:t>
      </w:r>
      <w:r w:rsidRPr="00181672">
        <w:t>10</w:t>
      </w:r>
      <w:r w:rsidRPr="00181672">
        <w:rPr>
          <w:vertAlign w:val="superscript"/>
        </w:rPr>
        <w:t>16</w:t>
      </w:r>
      <w:r w:rsidRPr="00181672">
        <w:t xml:space="preserve"> </w:t>
      </w:r>
      <w:r>
        <w:rPr>
          <w:lang w:val="en-US"/>
        </w:rPr>
        <w:t>c</w:t>
      </w:r>
      <w:r>
        <w:t>м</w:t>
      </w:r>
      <w:r w:rsidRPr="006E3BBB">
        <w:rPr>
          <w:vertAlign w:val="superscript"/>
        </w:rPr>
        <w:t>–</w:t>
      </w:r>
      <w:r w:rsidRPr="00181672">
        <w:rPr>
          <w:vertAlign w:val="superscript"/>
        </w:rPr>
        <w:t>3</w:t>
      </w:r>
      <w:r>
        <w:t xml:space="preserve"> при токе дуги 700</w:t>
      </w:r>
      <w:r>
        <w:rPr>
          <w:lang w:val="en-US"/>
        </w:rPr>
        <w:t> </w:t>
      </w:r>
      <w:r>
        <w:t>÷</w:t>
      </w:r>
      <w:r>
        <w:rPr>
          <w:lang w:val="en-US"/>
        </w:rPr>
        <w:t> </w:t>
      </w:r>
      <w:r>
        <w:t>1500 А для</w:t>
      </w:r>
      <w:r w:rsidRPr="00324199">
        <w:t xml:space="preserve"> </w:t>
      </w:r>
      <w:r>
        <w:t>расхода плазмообразующего газа 2 г</w:t>
      </w:r>
      <w:r w:rsidRPr="00324199">
        <w:t>/</w:t>
      </w:r>
      <w:r>
        <w:rPr>
          <w:lang w:val="en-US"/>
        </w:rPr>
        <w:t>c</w:t>
      </w:r>
      <w:r>
        <w:t xml:space="preserve"> через катодный узел ГНП и 3</w:t>
      </w:r>
      <w:r w:rsidRPr="006E3BBB">
        <w:t>,</w:t>
      </w:r>
      <w:r>
        <w:t>5 г</w:t>
      </w:r>
      <w:r w:rsidRPr="00324199">
        <w:t>/</w:t>
      </w:r>
      <w:r>
        <w:rPr>
          <w:lang w:val="en-US"/>
        </w:rPr>
        <w:t>c</w:t>
      </w:r>
      <w:r>
        <w:t xml:space="preserve"> через анодный.</w:t>
      </w:r>
    </w:p>
    <w:p w:rsidR="009E09E1" w:rsidRDefault="009E09E1" w:rsidP="009E09E1">
      <w:pPr>
        <w:pStyle w:val="Zv-bodyreport"/>
      </w:pPr>
      <w:r w:rsidRPr="002B6719">
        <w:rPr>
          <w:bCs/>
        </w:rPr>
        <w:t xml:space="preserve">Работа выполнена при частичной поддержке гранта РФФИ № </w:t>
      </w:r>
      <w:r w:rsidRPr="00C03909">
        <w:rPr>
          <w:bCs/>
        </w:rPr>
        <w:t>16-08-00245</w:t>
      </w:r>
    </w:p>
    <w:p w:rsidR="009E09E1" w:rsidRPr="006E6352" w:rsidRDefault="009E09E1" w:rsidP="009E09E1">
      <w:pPr>
        <w:pStyle w:val="Zv-bodyreport"/>
        <w:spacing w:before="120" w:after="120" w:line="216" w:lineRule="auto"/>
        <w:ind w:firstLine="0"/>
        <w:rPr>
          <w:rFonts w:ascii="Title_References-ru" w:eastAsia="Calibri" w:hAnsi="Title_References-ru"/>
          <w:b/>
        </w:rPr>
      </w:pPr>
      <w:bookmarkStart w:id="4" w:name="_Ref411411328"/>
      <w:r>
        <w:rPr>
          <w:rFonts w:ascii="Title_References-ru" w:hAnsi="Title_References-ru"/>
          <w:b/>
        </w:rPr>
        <w:t>Литература</w:t>
      </w:r>
    </w:p>
    <w:p w:rsidR="009E09E1" w:rsidRPr="006E3BBB" w:rsidRDefault="009E09E1" w:rsidP="009E09E1">
      <w:pPr>
        <w:pStyle w:val="Zv-References-en"/>
        <w:spacing w:line="216" w:lineRule="auto"/>
        <w:jc w:val="both"/>
        <w:rPr>
          <w:rFonts w:eastAsia="Calibri"/>
          <w:lang w:val="ru-RU"/>
        </w:rPr>
      </w:pPr>
      <w:r w:rsidRPr="001B65BF">
        <w:rPr>
          <w:rFonts w:eastAsia="Calibri"/>
          <w:lang w:val="ru-RU"/>
        </w:rPr>
        <w:t>60 лет непрерывной разливки стали в России Сб.</w:t>
      </w:r>
      <w:r>
        <w:rPr>
          <w:rFonts w:eastAsia="Calibri"/>
          <w:lang w:val="ru-RU"/>
        </w:rPr>
        <w:t xml:space="preserve">  </w:t>
      </w:r>
      <w:r w:rsidRPr="001B65BF">
        <w:rPr>
          <w:rFonts w:eastAsia="Calibri"/>
          <w:lang w:val="ru-RU"/>
        </w:rPr>
        <w:t>статей под ред. С.В.</w:t>
      </w:r>
      <w:r>
        <w:rPr>
          <w:rFonts w:eastAsia="Calibri"/>
          <w:lang w:val="ru-RU"/>
        </w:rPr>
        <w:t> </w:t>
      </w:r>
      <w:r w:rsidRPr="001B65BF">
        <w:rPr>
          <w:rFonts w:eastAsia="Calibri"/>
          <w:lang w:val="ru-RU"/>
        </w:rPr>
        <w:t>Колпаков</w:t>
      </w:r>
      <w:r>
        <w:rPr>
          <w:rFonts w:eastAsia="Calibri"/>
          <w:lang w:val="ru-RU"/>
        </w:rPr>
        <w:t>а и Е.Х. </w:t>
      </w:r>
      <w:r w:rsidRPr="001B65BF">
        <w:rPr>
          <w:rFonts w:eastAsia="Calibri"/>
          <w:lang w:val="ru-RU"/>
        </w:rPr>
        <w:t xml:space="preserve">Шахпазова. </w:t>
      </w:r>
      <w:r w:rsidRPr="006E3BBB">
        <w:rPr>
          <w:rFonts w:eastAsia="Calibri"/>
          <w:lang w:val="ru-RU"/>
        </w:rPr>
        <w:t>М.: Интерконтакт Наука, 2007, 512 с.</w:t>
      </w:r>
      <w:bookmarkEnd w:id="4"/>
    </w:p>
    <w:p w:rsidR="009E09E1" w:rsidRPr="006E6352" w:rsidRDefault="009E09E1" w:rsidP="009E09E1">
      <w:pPr>
        <w:pStyle w:val="Zv-References-en"/>
        <w:spacing w:line="216" w:lineRule="auto"/>
        <w:jc w:val="both"/>
      </w:pPr>
      <w:r w:rsidRPr="006E6352">
        <w:t>Troniman</w:t>
      </w:r>
      <w:r w:rsidRPr="009E09E1">
        <w:t xml:space="preserve"> </w:t>
      </w:r>
      <w:r w:rsidRPr="006E6352">
        <w:t>J</w:t>
      </w:r>
      <w:r w:rsidRPr="009E09E1">
        <w:t xml:space="preserve">., </w:t>
      </w:r>
      <w:r w:rsidRPr="006E6352">
        <w:t>Comacho</w:t>
      </w:r>
      <w:r w:rsidRPr="009E09E1">
        <w:t xml:space="preserve"> </w:t>
      </w:r>
      <w:r w:rsidRPr="006E6352">
        <w:t>D</w:t>
      </w:r>
      <w:r w:rsidRPr="009E09E1">
        <w:t xml:space="preserve">. </w:t>
      </w:r>
      <w:r w:rsidRPr="006E6352">
        <w:t>Plasma</w:t>
      </w:r>
      <w:r w:rsidRPr="009E09E1">
        <w:t xml:space="preserve"> </w:t>
      </w:r>
      <w:r w:rsidRPr="006E6352">
        <w:t>tundish</w:t>
      </w:r>
      <w:r w:rsidRPr="009E09E1">
        <w:t xml:space="preserve"> </w:t>
      </w:r>
      <w:r w:rsidRPr="006E6352">
        <w:t>heating</w:t>
      </w:r>
      <w:r w:rsidRPr="009E09E1">
        <w:t xml:space="preserve"> </w:t>
      </w:r>
      <w:r w:rsidRPr="006E6352">
        <w:t>at</w:t>
      </w:r>
      <w:r w:rsidRPr="009E09E1">
        <w:t xml:space="preserve"> </w:t>
      </w:r>
      <w:r w:rsidRPr="006E6352">
        <w:t>Nucor</w:t>
      </w:r>
      <w:r w:rsidRPr="009E09E1">
        <w:t xml:space="preserve"> </w:t>
      </w:r>
      <w:r w:rsidRPr="006E6352">
        <w:t>Steel</w:t>
      </w:r>
      <w:r w:rsidRPr="009E09E1">
        <w:t xml:space="preserve"> – </w:t>
      </w:r>
      <w:r w:rsidRPr="006E6352">
        <w:t>Nebraska</w:t>
      </w:r>
      <w:r w:rsidRPr="009E09E1">
        <w:t xml:space="preserve"> // </w:t>
      </w:r>
      <w:r w:rsidRPr="006E6352">
        <w:t>Iron</w:t>
      </w:r>
      <w:r w:rsidRPr="009E09E1">
        <w:t xml:space="preserve"> </w:t>
      </w:r>
      <w:r w:rsidRPr="006E6352">
        <w:t>and</w:t>
      </w:r>
      <w:r w:rsidRPr="009E09E1">
        <w:t xml:space="preserve"> </w:t>
      </w:r>
      <w:r w:rsidRPr="006E6352">
        <w:t>Steel</w:t>
      </w:r>
      <w:r w:rsidRPr="009E09E1">
        <w:t xml:space="preserve"> </w:t>
      </w:r>
      <w:r w:rsidRPr="006E6352">
        <w:t>Engineer</w:t>
      </w:r>
      <w:r w:rsidRPr="009E09E1">
        <w:t xml:space="preserve">. </w:t>
      </w:r>
      <w:r w:rsidRPr="006E3BBB">
        <w:rPr>
          <w:lang w:val="ru-RU"/>
        </w:rPr>
        <w:t xml:space="preserve">1995. </w:t>
      </w:r>
      <w:r w:rsidRPr="006E6352">
        <w:t>Vol</w:t>
      </w:r>
      <w:r w:rsidRPr="006E3BBB">
        <w:rPr>
          <w:lang w:val="ru-RU"/>
        </w:rPr>
        <w:t xml:space="preserve">.73. </w:t>
      </w:r>
      <w:r w:rsidRPr="006E6352">
        <w:t>No</w:t>
      </w:r>
      <w:r w:rsidRPr="006E3BBB">
        <w:rPr>
          <w:lang w:val="ru-RU"/>
        </w:rPr>
        <w:t xml:space="preserve">.11. </w:t>
      </w:r>
      <w:r w:rsidRPr="006E6352">
        <w:t>P</w:t>
      </w:r>
      <w:r w:rsidRPr="006E3BBB">
        <w:rPr>
          <w:lang w:val="ru-RU"/>
        </w:rPr>
        <w:t>. 3</w:t>
      </w:r>
      <w:r w:rsidRPr="006E6352">
        <w:t>9</w:t>
      </w:r>
      <w:r>
        <w:t xml:space="preserve"> </w:t>
      </w:r>
      <w:r w:rsidRPr="006E6352">
        <w:t>–</w:t>
      </w:r>
      <w:r>
        <w:t xml:space="preserve"> </w:t>
      </w:r>
      <w:r w:rsidRPr="006E6352">
        <w:t>44.</w:t>
      </w:r>
    </w:p>
    <w:p w:rsidR="009E09E1" w:rsidRDefault="009E09E1" w:rsidP="009E09E1">
      <w:pPr>
        <w:pStyle w:val="Zv-References-en"/>
        <w:spacing w:line="216" w:lineRule="auto"/>
        <w:jc w:val="both"/>
      </w:pPr>
      <w:r w:rsidRPr="006E6352">
        <w:t>Chapellier P., Jacquot J., Sosin L. Twin-bloom casting of high carb</w:t>
      </w:r>
      <w:r>
        <w:t>on steels at SOLLAC: Four</w:t>
      </w:r>
      <w:r w:rsidRPr="006E6352">
        <w:t xml:space="preserve"> Years of Continuous Improvement:  Proc. 3rd Europ. Conf. Continuous Casting. 1998. P. 583–591.</w:t>
      </w:r>
    </w:p>
    <w:p w:rsidR="009E09E1" w:rsidRPr="006E3BBB" w:rsidRDefault="009E09E1" w:rsidP="009E09E1">
      <w:pPr>
        <w:pStyle w:val="Zv-References-en"/>
        <w:spacing w:line="216" w:lineRule="auto"/>
        <w:jc w:val="both"/>
        <w:rPr>
          <w:lang w:val="ru-RU"/>
        </w:rPr>
      </w:pPr>
      <w:r>
        <w:rPr>
          <w:lang w:val="ru-RU"/>
        </w:rPr>
        <w:t>Коротеев</w:t>
      </w:r>
      <w:r>
        <w:t> </w:t>
      </w:r>
      <w:r w:rsidRPr="001B65BF">
        <w:rPr>
          <w:lang w:val="ru-RU"/>
        </w:rPr>
        <w:t>А.С., Миронов</w:t>
      </w:r>
      <w:r>
        <w:t> </w:t>
      </w:r>
      <w:r>
        <w:rPr>
          <w:lang w:val="ru-RU"/>
        </w:rPr>
        <w:t>В.М., Свирчук</w:t>
      </w:r>
      <w:r>
        <w:t> </w:t>
      </w:r>
      <w:r w:rsidRPr="001B65BF">
        <w:rPr>
          <w:lang w:val="ru-RU"/>
        </w:rPr>
        <w:t xml:space="preserve">Ю.С. Плазмотроны: конструкции, характеристики, расчет. </w:t>
      </w:r>
      <w:r w:rsidRPr="006E3BBB">
        <w:rPr>
          <w:lang w:val="ru-RU"/>
        </w:rPr>
        <w:t>М.: Машиностроение, 1993. 296 с.</w:t>
      </w:r>
    </w:p>
    <w:p w:rsidR="009E09E1" w:rsidRDefault="009E09E1" w:rsidP="009E09E1">
      <w:pPr>
        <w:pStyle w:val="Zv-References-en"/>
        <w:spacing w:line="216" w:lineRule="auto"/>
        <w:jc w:val="both"/>
        <w:rPr>
          <w:lang w:val="ru-RU"/>
        </w:rPr>
      </w:pPr>
      <w:r w:rsidRPr="001B65BF">
        <w:rPr>
          <w:lang w:val="ru-RU"/>
        </w:rPr>
        <w:t xml:space="preserve">Глебов И.А., Рутберг Ф.Г. Мощные генераторы плазмы. </w:t>
      </w:r>
      <w:r>
        <w:t>М.: Энергоатомиздат, 1985. 264 с.</w:t>
      </w:r>
    </w:p>
    <w:p w:rsidR="009E09E1" w:rsidRPr="00A94804" w:rsidRDefault="009E09E1" w:rsidP="009E09E1">
      <w:pPr>
        <w:pStyle w:val="Zv-References-en"/>
        <w:spacing w:line="216" w:lineRule="auto"/>
        <w:jc w:val="both"/>
        <w:rPr>
          <w:lang w:val="ru-RU"/>
        </w:rPr>
      </w:pPr>
      <w:r w:rsidRPr="00A94804">
        <w:rPr>
          <w:bCs/>
          <w:iCs/>
          <w:lang w:val="ru-RU"/>
        </w:rPr>
        <w:t>Исакаев Э.Х., Тюфтяев А.С., Гаджиев М.Х.</w:t>
      </w:r>
      <w:r w:rsidRPr="00A94804">
        <w:rPr>
          <w:bCs/>
          <w:i/>
          <w:iCs/>
          <w:lang w:val="ru-RU"/>
        </w:rPr>
        <w:t xml:space="preserve"> </w:t>
      </w:r>
      <w:r w:rsidRPr="00A94804">
        <w:rPr>
          <w:bCs/>
          <w:iCs/>
          <w:lang w:val="ru-RU"/>
        </w:rPr>
        <w:t>//ФХОМ. 2016. С1</w:t>
      </w:r>
      <w:r>
        <w:rPr>
          <w:bCs/>
          <w:iCs/>
        </w:rPr>
        <w:t xml:space="preserve"> – </w:t>
      </w:r>
      <w:r w:rsidRPr="00A94804">
        <w:rPr>
          <w:bCs/>
          <w:iCs/>
          <w:lang w:val="ru-RU"/>
        </w:rPr>
        <w:t>4.</w:t>
      </w:r>
    </w:p>
    <w:p w:rsidR="009E09E1" w:rsidRPr="006E6352" w:rsidRDefault="009E09E1" w:rsidP="009E09E1">
      <w:pPr>
        <w:pStyle w:val="Zv-References-en"/>
        <w:spacing w:line="216" w:lineRule="auto"/>
        <w:jc w:val="both"/>
        <w:rPr>
          <w:lang w:val="ru-RU"/>
        </w:rPr>
      </w:pPr>
      <w:r w:rsidRPr="00A94804">
        <w:rPr>
          <w:iCs/>
          <w:szCs w:val="24"/>
          <w:lang w:val="ru-RU"/>
        </w:rPr>
        <w:t>Гаджиев М.Х., Исакаев Э.Х., Тюфтяев А.С., Юсупов Д.И.</w:t>
      </w:r>
      <w:r w:rsidRPr="00A94804">
        <w:rPr>
          <w:i/>
          <w:iCs/>
          <w:szCs w:val="24"/>
          <w:lang w:val="ru-RU"/>
        </w:rPr>
        <w:t xml:space="preserve"> </w:t>
      </w:r>
      <w:r w:rsidRPr="00A94804">
        <w:rPr>
          <w:bCs/>
          <w:iCs/>
          <w:szCs w:val="24"/>
          <w:lang w:val="ru-RU"/>
        </w:rPr>
        <w:t xml:space="preserve">//Письма в ЖТФ. 2016. том 42. вып. 2. </w:t>
      </w:r>
      <w:r w:rsidRPr="00B723EC">
        <w:rPr>
          <w:bCs/>
          <w:iCs/>
          <w:szCs w:val="24"/>
        </w:rPr>
        <w:t>С.44-49.</w:t>
      </w:r>
    </w:p>
    <w:sectPr w:rsidR="009E09E1" w:rsidRPr="006E635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D44" w:rsidRDefault="00E16D44">
      <w:r>
        <w:separator/>
      </w:r>
    </w:p>
  </w:endnote>
  <w:endnote w:type="continuationSeparator" w:id="0">
    <w:p w:rsidR="00E16D44" w:rsidRDefault="00E1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Zv-Autho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Zv-Organiza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tle_References-r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720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720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09E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D44" w:rsidRDefault="00E16D44">
      <w:r>
        <w:separator/>
      </w:r>
    </w:p>
  </w:footnote>
  <w:footnote w:type="continuationSeparator" w:id="0">
    <w:p w:rsidR="00E16D44" w:rsidRDefault="00E1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447203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6D4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47203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9E09E1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16D44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9E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9E0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sargsyan86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МЕГАВАТТНЫЙ ГЕНЕРАТОР НИЗКОТЕМПЕРАТУРНОЙ ПЛАЗМЫ ПОСТОЯННОГО ТОКА С РАСШИРЯЮЩИМИСЯ КАНАЛАМИ ГАЗОРАЗРЯДНОГО ТРАКТА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2017-01-12T14:20:00Z</dcterms:created>
  <dcterms:modified xsi:type="dcterms:W3CDTF">2017-01-12T14:22:00Z</dcterms:modified>
</cp:coreProperties>
</file>