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56" w:rsidRPr="00F90468" w:rsidRDefault="00032156" w:rsidP="00032156">
      <w:pPr>
        <w:pStyle w:val="Zv-Titlereport"/>
      </w:pPr>
      <w:bookmarkStart w:id="0" w:name="OLE_LINK5"/>
      <w:bookmarkStart w:id="1" w:name="OLE_LINK6"/>
      <w:r>
        <w:t>Теоретическое исследование пучково-плазменной неустойчивости в нестационарной плазме</w:t>
      </w:r>
      <w:bookmarkEnd w:id="0"/>
      <w:bookmarkEnd w:id="1"/>
    </w:p>
    <w:p w:rsidR="00032156" w:rsidRDefault="00032156" w:rsidP="00032156">
      <w:pPr>
        <w:pStyle w:val="Zv-Author"/>
      </w:pPr>
      <w:r w:rsidRPr="00F90468">
        <w:rPr>
          <w:u w:val="single"/>
        </w:rPr>
        <w:t>Карташов</w:t>
      </w:r>
      <w:r w:rsidRPr="006F7A64">
        <w:rPr>
          <w:u w:val="single"/>
        </w:rPr>
        <w:t xml:space="preserve"> </w:t>
      </w:r>
      <w:r w:rsidRPr="00F90468">
        <w:rPr>
          <w:u w:val="single"/>
        </w:rPr>
        <w:t>И.Н.</w:t>
      </w:r>
      <w:r w:rsidRPr="00F90468">
        <w:t xml:space="preserve">, </w:t>
      </w:r>
      <w:r>
        <w:t>Кузелев</w:t>
      </w:r>
      <w:r w:rsidRPr="006F7A64">
        <w:t xml:space="preserve"> </w:t>
      </w:r>
      <w:r>
        <w:t>М</w:t>
      </w:r>
      <w:r w:rsidRPr="00F90468">
        <w:t>.</w:t>
      </w:r>
      <w:r>
        <w:t>В</w:t>
      </w:r>
      <w:r w:rsidRPr="00F90468">
        <w:t>.</w:t>
      </w:r>
    </w:p>
    <w:p w:rsidR="00032156" w:rsidRPr="00032156" w:rsidRDefault="00032156" w:rsidP="00032156">
      <w:pPr>
        <w:pStyle w:val="Zv-Organization"/>
      </w:pPr>
      <w:bookmarkStart w:id="2" w:name="_Hlk466991037"/>
      <w:r>
        <w:t>Московский государственный университет</w:t>
      </w:r>
      <w:r w:rsidRPr="00961F04">
        <w:t>, г. Москва, Россия</w:t>
      </w:r>
      <w:bookmarkEnd w:id="2"/>
      <w:r>
        <w:t xml:space="preserve">, </w:t>
      </w:r>
      <w:hyperlink r:id="rId7" w:history="1">
        <w:r w:rsidRPr="00E67932">
          <w:rPr>
            <w:rStyle w:val="a8"/>
            <w:lang w:val="en-US"/>
          </w:rPr>
          <w:t>igorkartashov</w:t>
        </w:r>
        <w:r w:rsidRPr="00E67932">
          <w:rPr>
            <w:rStyle w:val="a8"/>
          </w:rPr>
          <w:t>@</w:t>
        </w:r>
        <w:r w:rsidRPr="00E67932">
          <w:rPr>
            <w:rStyle w:val="a8"/>
            <w:lang w:val="en-US"/>
          </w:rPr>
          <w:t>mail</w:t>
        </w:r>
        <w:r w:rsidRPr="00E67932">
          <w:rPr>
            <w:rStyle w:val="a8"/>
          </w:rPr>
          <w:t>.</w:t>
        </w:r>
        <w:r w:rsidRPr="00E67932">
          <w:rPr>
            <w:rStyle w:val="a8"/>
            <w:lang w:val="en-US"/>
          </w:rPr>
          <w:t>ru</w:t>
        </w:r>
      </w:hyperlink>
    </w:p>
    <w:p w:rsidR="00032156" w:rsidRDefault="00032156" w:rsidP="00032156">
      <w:pPr>
        <w:pStyle w:val="Zv-bodyreport"/>
      </w:pPr>
      <w:r>
        <w:t xml:space="preserve">Одной из проблем работы источников мощного электромагнитного излучения СВЧ диапазона, основанных на взаимодействии релятивистских электронных пучков с плазмой, является нестабильность частоты излучения в пределах 10 МГц. Доминирующее влияние, обуславливающее эту нестабильность оказывает нестационарность плазмы. В настоящей работе теоретически исследуются неустойчивости электронного пучка в потенциальном приближении при его взаимодействии с плазмой, плотность электронов которой достаточно медленно меняется со временем. Пусть холодную электронную плазму с невозмущенной плотностью электронов </w:t>
      </w:r>
      <w:r w:rsidRPr="00AF7CB0">
        <w:rPr>
          <w:i/>
        </w:rPr>
        <w:t>n</w:t>
      </w:r>
      <w:r w:rsidRPr="00AF7CB0">
        <w:rPr>
          <w:i/>
          <w:vertAlign w:val="subscript"/>
          <w:lang w:val="en-US"/>
        </w:rPr>
        <w:t>p</w:t>
      </w:r>
      <w:r w:rsidRPr="00AF7CB0">
        <w:t>(</w:t>
      </w:r>
      <w:r w:rsidRPr="00AF7CB0">
        <w:rPr>
          <w:i/>
          <w:lang w:val="en-US"/>
        </w:rPr>
        <w:t>t</w:t>
      </w:r>
      <w:r w:rsidRPr="00AF7CB0">
        <w:t xml:space="preserve">) </w:t>
      </w:r>
      <w:r>
        <w:t xml:space="preserve">пронизывает электронный пучок с концентрацией электронов </w:t>
      </w:r>
      <w:r w:rsidRPr="00AF7CB0">
        <w:rPr>
          <w:i/>
        </w:rPr>
        <w:t>n</w:t>
      </w:r>
      <w:r w:rsidRPr="00AF7CB0">
        <w:rPr>
          <w:i/>
          <w:vertAlign w:val="subscript"/>
          <w:lang w:val="en-US"/>
        </w:rPr>
        <w:t>b</w:t>
      </w:r>
      <w:r>
        <w:t xml:space="preserve">, движущийся со скоростью </w:t>
      </w:r>
      <w:r w:rsidRPr="00AF7CB0">
        <w:rPr>
          <w:i/>
          <w:lang w:val="en-US"/>
        </w:rPr>
        <w:t>u</w:t>
      </w:r>
      <w:r>
        <w:t>. В линейном по возмущениям δ</w:t>
      </w:r>
      <w:r w:rsidRPr="00AF7CB0">
        <w:rPr>
          <w:i/>
        </w:rPr>
        <w:t>n</w:t>
      </w:r>
      <w:r w:rsidRPr="00AF7CB0">
        <w:rPr>
          <w:i/>
          <w:vertAlign w:val="subscript"/>
          <w:lang w:val="en-US"/>
        </w:rPr>
        <w:t>p</w:t>
      </w:r>
      <w:r w:rsidRPr="004D1BC3">
        <w:t>(</w:t>
      </w:r>
      <w:r w:rsidRPr="004D1BC3">
        <w:rPr>
          <w:i/>
          <w:lang w:val="en-US"/>
        </w:rPr>
        <w:t>t</w:t>
      </w:r>
      <w:r w:rsidRPr="004D1BC3">
        <w:t>,</w:t>
      </w:r>
      <w:r w:rsidRPr="004D1BC3">
        <w:rPr>
          <w:i/>
          <w:lang w:val="en-US"/>
        </w:rPr>
        <w:t>z</w:t>
      </w:r>
      <w:r w:rsidRPr="004D1BC3">
        <w:t>)</w:t>
      </w:r>
      <w:r>
        <w:rPr>
          <w:i/>
          <w:lang w:val="en-US"/>
        </w:rPr>
        <w:t>e</w:t>
      </w:r>
      <w:r w:rsidRPr="004D1BC3">
        <w:rPr>
          <w:i/>
          <w:vertAlign w:val="superscript"/>
        </w:rPr>
        <w:t>-</w:t>
      </w:r>
      <w:r>
        <w:rPr>
          <w:i/>
          <w:vertAlign w:val="superscript"/>
          <w:lang w:val="en-US"/>
        </w:rPr>
        <w:t>iωt</w:t>
      </w:r>
      <w:r w:rsidRPr="004D1BC3">
        <w:rPr>
          <w:i/>
          <w:vertAlign w:val="superscript"/>
        </w:rPr>
        <w:t>+</w:t>
      </w:r>
      <w:r>
        <w:rPr>
          <w:i/>
          <w:vertAlign w:val="superscript"/>
          <w:lang w:val="en-US"/>
        </w:rPr>
        <w:t>ikz</w:t>
      </w:r>
      <w:r w:rsidRPr="00AF7CB0">
        <w:t xml:space="preserve"> </w:t>
      </w:r>
      <w:r>
        <w:t>и δ</w:t>
      </w:r>
      <w:r w:rsidRPr="00AF7CB0">
        <w:rPr>
          <w:i/>
        </w:rPr>
        <w:t>n</w:t>
      </w:r>
      <w:r>
        <w:rPr>
          <w:i/>
          <w:vertAlign w:val="subscript"/>
          <w:lang w:val="en-US"/>
        </w:rPr>
        <w:t>b</w:t>
      </w:r>
      <w:r w:rsidRPr="004D1BC3">
        <w:t>(</w:t>
      </w:r>
      <w:r w:rsidRPr="004D1BC3">
        <w:rPr>
          <w:i/>
          <w:lang w:val="en-US"/>
        </w:rPr>
        <w:t>t</w:t>
      </w:r>
      <w:r w:rsidRPr="004D1BC3">
        <w:t>,</w:t>
      </w:r>
      <w:r w:rsidRPr="004D1BC3">
        <w:rPr>
          <w:i/>
          <w:lang w:val="en-US"/>
        </w:rPr>
        <w:t>z</w:t>
      </w:r>
      <w:r w:rsidRPr="004D1BC3">
        <w:t>)</w:t>
      </w:r>
      <w:r>
        <w:rPr>
          <w:i/>
          <w:lang w:val="en-US"/>
        </w:rPr>
        <w:t>e</w:t>
      </w:r>
      <w:r w:rsidRPr="004D1BC3">
        <w:rPr>
          <w:i/>
          <w:vertAlign w:val="superscript"/>
        </w:rPr>
        <w:t>-</w:t>
      </w:r>
      <w:r>
        <w:rPr>
          <w:i/>
          <w:vertAlign w:val="superscript"/>
          <w:lang w:val="en-US"/>
        </w:rPr>
        <w:t>iωt</w:t>
      </w:r>
      <w:r w:rsidRPr="004D1BC3">
        <w:rPr>
          <w:i/>
          <w:vertAlign w:val="superscript"/>
        </w:rPr>
        <w:t>+</w:t>
      </w:r>
      <w:r>
        <w:rPr>
          <w:i/>
          <w:vertAlign w:val="superscript"/>
          <w:lang w:val="en-US"/>
        </w:rPr>
        <w:t>ikz</w:t>
      </w:r>
      <w:r>
        <w:t xml:space="preserve"> приближении динамика пучково-плазменной неустойчивости описывается системой уравнений</w:t>
      </w:r>
    </w:p>
    <w:p w:rsidR="00032156" w:rsidRDefault="00032156" w:rsidP="00032156">
      <w:pPr>
        <w:pStyle w:val="Zv-formula"/>
      </w:pPr>
      <w:r w:rsidRPr="00FE73F8">
        <w:t xml:space="preserve"> </w:t>
      </w:r>
      <w:r>
        <w:tab/>
      </w:r>
      <w:r w:rsidRPr="004D1BC3">
        <w:object w:dxaOrig="53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69.25pt;height:21.75pt" o:ole="">
            <v:imagedata r:id="rId8" o:title=""/>
          </v:shape>
          <o:OLEObject Type="Embed" ProgID="Equation.DSMT4" ShapeID="_x0000_i1032" DrawAspect="Content" ObjectID="_1545742234" r:id="rId9"/>
        </w:object>
      </w:r>
      <w:r>
        <w:t>,</w:t>
      </w:r>
      <w:r>
        <w:tab/>
        <w:t>(1)</w:t>
      </w:r>
    </w:p>
    <w:p w:rsidR="00032156" w:rsidRPr="004D1BC3" w:rsidRDefault="00032156" w:rsidP="00032156">
      <w:pPr>
        <w:pStyle w:val="Zv-formula"/>
      </w:pPr>
      <w:r w:rsidRPr="00032156">
        <w:t xml:space="preserve"> </w:t>
      </w:r>
      <w:r>
        <w:tab/>
      </w:r>
      <w:r w:rsidRPr="00261B89">
        <w:rPr>
          <w:position w:val="-34"/>
        </w:rPr>
        <w:object w:dxaOrig="5340" w:dyaOrig="800">
          <v:shape id="_x0000_i1031" type="#_x0000_t75" style="width:267pt;height:39.75pt" o:ole="">
            <v:imagedata r:id="rId10" o:title=""/>
          </v:shape>
          <o:OLEObject Type="Embed" ProgID="Equation.DSMT4" ShapeID="_x0000_i1031" DrawAspect="Content" ObjectID="_1545742235" r:id="rId11"/>
        </w:object>
      </w:r>
      <w:r>
        <w:t>.</w:t>
      </w:r>
      <w:r>
        <w:tab/>
        <w:t>(2)</w:t>
      </w:r>
    </w:p>
    <w:p w:rsidR="00032156" w:rsidRDefault="00032156" w:rsidP="00032156">
      <w:pPr>
        <w:pStyle w:val="Zv-bodyreportcont"/>
      </w:pPr>
      <w:r>
        <w:t xml:space="preserve">Здесь </w:t>
      </w:r>
      <w:r w:rsidRPr="00261B89">
        <w:rPr>
          <w:position w:val="-14"/>
        </w:rPr>
        <w:object w:dxaOrig="1840" w:dyaOrig="400">
          <v:shape id="_x0000_i1025" type="#_x0000_t75" style="width:92.25pt;height:20.25pt" o:ole="">
            <v:imagedata r:id="rId12" o:title=""/>
          </v:shape>
          <o:OLEObject Type="Embed" ProgID="Equation.DSMT4" ShapeID="_x0000_i1025" DrawAspect="Content" ObjectID="_1545742236" r:id="rId13"/>
        </w:object>
      </w:r>
      <w:r>
        <w:t xml:space="preserve"> — плазменные частоты электронов плазмы и пучка, </w:t>
      </w:r>
      <w:r w:rsidRPr="00261B89">
        <w:rPr>
          <w:position w:val="-10"/>
        </w:rPr>
        <w:object w:dxaOrig="200" w:dyaOrig="260">
          <v:shape id="_x0000_i1026" type="#_x0000_t75" style="width:9.75pt;height:12.75pt" o:ole="">
            <v:imagedata r:id="rId14" o:title=""/>
          </v:shape>
          <o:OLEObject Type="Embed" ProgID="Equation.DSMT4" ShapeID="_x0000_i1026" DrawAspect="Content" ObjectID="_1545742237" r:id="rId15"/>
        </w:object>
      </w:r>
      <w:r>
        <w:t xml:space="preserve"> — их релятивистский фактор, </w:t>
      </w:r>
      <w:r w:rsidRPr="00261B89">
        <w:rPr>
          <w:position w:val="-6"/>
        </w:rPr>
        <w:object w:dxaOrig="240" w:dyaOrig="220">
          <v:shape id="_x0000_i1027" type="#_x0000_t75" style="width:12pt;height:11.25pt" o:ole="">
            <v:imagedata r:id="rId16" o:title=""/>
          </v:shape>
          <o:OLEObject Type="Embed" ProgID="Equation.DSMT4" ShapeID="_x0000_i1027" DrawAspect="Content" ObjectID="_1545742238" r:id="rId17"/>
        </w:object>
      </w:r>
      <w:r>
        <w:t xml:space="preserve"> — частота волны подаваемой на вход системы, волновое число </w:t>
      </w:r>
      <w:r w:rsidRPr="00A77698">
        <w:rPr>
          <w:position w:val="-6"/>
        </w:rPr>
        <w:object w:dxaOrig="200" w:dyaOrig="279">
          <v:shape id="_x0000_i1028" type="#_x0000_t75" style="width:9.75pt;height:14.25pt" o:ole="">
            <v:imagedata r:id="rId18" o:title=""/>
          </v:shape>
          <o:OLEObject Type="Embed" ProgID="Equation.DSMT4" ShapeID="_x0000_i1028" DrawAspect="Content" ObjectID="_1545742239" r:id="rId19"/>
        </w:object>
      </w:r>
      <w:r>
        <w:t xml:space="preserve"> определяется условием черенковского резонанса с медленной волной пучка </w:t>
      </w:r>
      <w:r>
        <w:br/>
      </w:r>
      <w:r w:rsidRPr="00A77698">
        <w:rPr>
          <w:position w:val="-12"/>
        </w:rPr>
        <w:object w:dxaOrig="1719" w:dyaOrig="380">
          <v:shape id="_x0000_i1029" type="#_x0000_t75" style="width:86.25pt;height:18.75pt" o:ole="">
            <v:imagedata r:id="rId20" o:title=""/>
          </v:shape>
          <o:OLEObject Type="Embed" ProgID="Equation.DSMT4" ShapeID="_x0000_i1029" DrawAspect="Content" ObjectID="_1545742240" r:id="rId21"/>
        </w:object>
      </w:r>
      <w:r>
        <w:t>. При получении (1) учтена медленность изменения δ</w:t>
      </w:r>
      <w:r w:rsidRPr="00AF7CB0">
        <w:rPr>
          <w:i/>
        </w:rPr>
        <w:t>n</w:t>
      </w:r>
      <w:r w:rsidRPr="00AF7CB0">
        <w:rPr>
          <w:i/>
          <w:vertAlign w:val="subscript"/>
          <w:lang w:val="en-US"/>
        </w:rPr>
        <w:t>p</w:t>
      </w:r>
      <w:r w:rsidRPr="004D1BC3">
        <w:t>(</w:t>
      </w:r>
      <w:r w:rsidRPr="004D1BC3">
        <w:rPr>
          <w:i/>
          <w:lang w:val="en-US"/>
        </w:rPr>
        <w:t>t</w:t>
      </w:r>
      <w:r w:rsidRPr="004D1BC3">
        <w:t>,</w:t>
      </w:r>
      <w:r w:rsidRPr="004D1BC3">
        <w:rPr>
          <w:i/>
          <w:lang w:val="en-US"/>
        </w:rPr>
        <w:t>z</w:t>
      </w:r>
      <w:r w:rsidRPr="004D1BC3">
        <w:t>)</w:t>
      </w:r>
      <w:r>
        <w:t>.</w:t>
      </w:r>
    </w:p>
    <w:p w:rsidR="00032156" w:rsidRPr="009C3BBF" w:rsidRDefault="00032156" w:rsidP="00032156">
      <w:pPr>
        <w:pStyle w:val="Zv-bodyreport"/>
      </w:pPr>
      <w:r>
        <w:t>На основе численного решения системы (1), (2) получены</w:t>
      </w:r>
      <w:r w:rsidRPr="009C3BBF">
        <w:t xml:space="preserve"> </w:t>
      </w:r>
      <w:r>
        <w:t xml:space="preserve">временные зависимости амплитуды усиливаемой волны на выходе усилителя. Показано, что изменение частоты определяется производной </w:t>
      </w:r>
      <w:r w:rsidRPr="003B7F73">
        <w:rPr>
          <w:position w:val="-14"/>
        </w:rPr>
        <w:object w:dxaOrig="560" w:dyaOrig="380">
          <v:shape id="_x0000_i1030" type="#_x0000_t75" style="width:27.75pt;height:18.75pt" o:ole="">
            <v:imagedata r:id="rId22" o:title=""/>
          </v:shape>
          <o:OLEObject Type="Embed" ProgID="Equation.DSMT4" ShapeID="_x0000_i1030" DrawAspect="Content" ObjectID="_1545742241" r:id="rId23"/>
        </w:object>
      </w:r>
      <w:r>
        <w:t xml:space="preserve"> и в случае распадающейся плазмы (уменьшение плотности плазмы) частота на выходе усилителя становится меньше частоты волны, подаваемой на вход.</w:t>
      </w:r>
    </w:p>
    <w:p w:rsidR="004B72AA" w:rsidRPr="00032156" w:rsidRDefault="004B72AA" w:rsidP="000D76E9"/>
    <w:sectPr w:rsidR="004B72AA" w:rsidRPr="00032156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5D" w:rsidRDefault="00A2345D">
      <w:r>
        <w:separator/>
      </w:r>
    </w:p>
  </w:endnote>
  <w:endnote w:type="continuationSeparator" w:id="0">
    <w:p w:rsidR="00A2345D" w:rsidRDefault="00A2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60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215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5D" w:rsidRDefault="00A2345D">
      <w:r>
        <w:separator/>
      </w:r>
    </w:p>
  </w:footnote>
  <w:footnote w:type="continuationSeparator" w:id="0">
    <w:p w:rsidR="00A2345D" w:rsidRDefault="00A23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03607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345D"/>
    <w:rsid w:val="0002206C"/>
    <w:rsid w:val="00032156"/>
    <w:rsid w:val="00036076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2345D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321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igorkartashov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Теоретическое исследование пучково-плазменной неустойчивости в нестационарной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2017-01-12T13:01:00Z</dcterms:created>
  <dcterms:modified xsi:type="dcterms:W3CDTF">2017-01-12T13:04:00Z</dcterms:modified>
</cp:coreProperties>
</file>