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4F" w:rsidRPr="00887BD2" w:rsidRDefault="009D134F" w:rsidP="009D134F">
      <w:pPr>
        <w:pStyle w:val="Zv-Titlereport"/>
      </w:pPr>
      <w:bookmarkStart w:id="0" w:name="_Hlk467082194"/>
      <w:bookmarkStart w:id="1" w:name="OLE_LINK25"/>
      <w:bookmarkStart w:id="2" w:name="OLE_LINK26"/>
      <w:r>
        <w:t>инжекция нейтрального пучка для нагрева и генерации токов в сферическом токамаке Глобус-М, Глобус-м2</w:t>
      </w:r>
      <w:bookmarkEnd w:id="1"/>
      <w:bookmarkEnd w:id="2"/>
    </w:p>
    <w:p w:rsidR="009D134F" w:rsidRPr="00FB08A7" w:rsidRDefault="009D134F" w:rsidP="009D134F">
      <w:pPr>
        <w:pStyle w:val="Zv-Author"/>
      </w:pPr>
      <w:r w:rsidRPr="00FB08A7">
        <w:rPr>
          <w:u w:val="single"/>
        </w:rPr>
        <w:t>Щёголев П.Б</w:t>
      </w:r>
      <w:r w:rsidRPr="00FB08A7">
        <w:t>.,</w:t>
      </w:r>
      <w:r>
        <w:t xml:space="preserve"> </w:t>
      </w:r>
      <w:r w:rsidRPr="006316C2">
        <w:t>Минаев</w:t>
      </w:r>
      <w:r w:rsidRPr="00FB08A7">
        <w:t xml:space="preserve"> </w:t>
      </w:r>
      <w:r w:rsidRPr="006316C2">
        <w:t xml:space="preserve">В.Б., </w:t>
      </w:r>
      <w:r>
        <w:t>Тельнова</w:t>
      </w:r>
      <w:r w:rsidRPr="00FB08A7">
        <w:t xml:space="preserve"> А.</w:t>
      </w:r>
      <w:r>
        <w:t>Ю., Бахарев</w:t>
      </w:r>
      <w:r w:rsidRPr="00FB08A7">
        <w:t xml:space="preserve"> </w:t>
      </w:r>
      <w:r>
        <w:t xml:space="preserve">Н.Н., </w:t>
      </w:r>
      <w:r>
        <w:rPr>
          <w:szCs w:val="24"/>
          <w:vertAlign w:val="superscript"/>
        </w:rPr>
        <w:t>1</w:t>
      </w:r>
      <w:r>
        <w:t>Гончаров</w:t>
      </w:r>
      <w:r w:rsidRPr="00FB08A7">
        <w:t xml:space="preserve"> </w:t>
      </w:r>
      <w:r>
        <w:t>П.Р., Гусев В.К., Курскиев</w:t>
      </w:r>
      <w:r w:rsidRPr="00FB08A7">
        <w:t xml:space="preserve"> </w:t>
      </w:r>
      <w:r>
        <w:t>Г.С., Патров</w:t>
      </w:r>
      <w:r w:rsidRPr="00FB08A7">
        <w:t xml:space="preserve"> </w:t>
      </w:r>
      <w:r>
        <w:t>М.И., Петров</w:t>
      </w:r>
      <w:r w:rsidRPr="00FB08A7">
        <w:t xml:space="preserve"> </w:t>
      </w:r>
      <w:r>
        <w:t>Ю.В.</w:t>
      </w:r>
      <w:r w:rsidRPr="006316C2">
        <w:t xml:space="preserve">, </w:t>
      </w:r>
      <w:r w:rsidRPr="00FB08A7">
        <w:t xml:space="preserve">Сахаров Н.В., </w:t>
      </w:r>
      <w:r>
        <w:t>Толстяков </w:t>
      </w:r>
      <w:r w:rsidRPr="00FB08A7">
        <w:t>С.</w:t>
      </w:r>
      <w:r>
        <w:t>Ю.</w:t>
      </w:r>
    </w:p>
    <w:p w:rsidR="009D134F" w:rsidRPr="00FB08A7" w:rsidRDefault="009D134F" w:rsidP="009D134F">
      <w:pPr>
        <w:pStyle w:val="Zv-Organization"/>
        <w:rPr>
          <w:szCs w:val="24"/>
        </w:rPr>
      </w:pPr>
      <w:r w:rsidRPr="00FB08A7">
        <w:rPr>
          <w:szCs w:val="24"/>
        </w:rPr>
        <w:t xml:space="preserve">Физико-технический институт им. А.Ф. Иоффе РАН, г. Санкт-Петербург, Россия, </w:t>
      </w:r>
      <w:r w:rsidRPr="00FB08A7">
        <w:rPr>
          <w:szCs w:val="24"/>
        </w:rPr>
        <w:br/>
      </w:r>
      <w:r w:rsidRPr="00F02172">
        <w:rPr>
          <w:szCs w:val="24"/>
        </w:rPr>
        <w:t xml:space="preserve">    </w:t>
      </w:r>
      <w:r w:rsidRPr="00FB08A7">
        <w:rPr>
          <w:szCs w:val="24"/>
        </w:rPr>
        <w:t xml:space="preserve"> </w:t>
      </w:r>
      <w:hyperlink r:id="rId7" w:history="1">
        <w:r w:rsidRPr="00E67932">
          <w:rPr>
            <w:rStyle w:val="a8"/>
            <w:szCs w:val="24"/>
          </w:rPr>
          <w:t>peter_shchegolev@mail.ioffe.ru</w:t>
        </w:r>
      </w:hyperlink>
      <w:bookmarkStart w:id="3" w:name="_Hlk466995087"/>
      <w:r w:rsidRPr="009D134F">
        <w:rPr>
          <w:szCs w:val="24"/>
        </w:rPr>
        <w:br/>
      </w:r>
      <w:bookmarkStart w:id="4" w:name="_Hlk467082094"/>
      <w:r>
        <w:rPr>
          <w:szCs w:val="24"/>
          <w:vertAlign w:val="superscript"/>
        </w:rPr>
        <w:t>1</w:t>
      </w:r>
      <w:bookmarkEnd w:id="4"/>
      <w:r w:rsidRPr="00FB08A7">
        <w:rPr>
          <w:szCs w:val="24"/>
        </w:rPr>
        <w:t>Санкт-Петербургский политехнический университет им. Петра Великого,</w:t>
      </w:r>
      <w:r w:rsidRPr="00F02172">
        <w:rPr>
          <w:szCs w:val="24"/>
        </w:rPr>
        <w:br/>
        <w:t xml:space="preserve">    </w:t>
      </w:r>
      <w:r w:rsidRPr="00FB08A7">
        <w:rPr>
          <w:szCs w:val="24"/>
        </w:rPr>
        <w:t xml:space="preserve"> г. Санкт-Петербург, Россия</w:t>
      </w:r>
      <w:bookmarkEnd w:id="3"/>
    </w:p>
    <w:bookmarkEnd w:id="0"/>
    <w:p w:rsidR="009D134F" w:rsidRDefault="009D134F" w:rsidP="009D134F">
      <w:pPr>
        <w:ind w:firstLine="284"/>
        <w:jc w:val="both"/>
      </w:pPr>
      <w:r>
        <w:t>Инжекция нейтрального пучка — принципиальный метод для нагрева плазмы и генерации тока в токамаке-реакторе, поскольку она обеспечивает возможность его стационарной работы. Инжекция пучка атомов особенно важна в компактных термоядерных источниках нейтронов на основе сферического токамака из-за ограниченного числа методов дополнительного нагрева, применимых в условиях высокой плотности и относительно низкого магнитного поля. Следовательно, одной из основных целей экспериментов на токамаках Глобус-М, Глобус-М2 является исследование и демонстрация эффективного нагрева плазмы и генерации токов увлечения пучком атомов.</w:t>
      </w:r>
    </w:p>
    <w:p w:rsidR="009D134F" w:rsidRPr="00E73B76" w:rsidRDefault="009D134F" w:rsidP="009D134F">
      <w:pPr>
        <w:ind w:firstLine="284"/>
        <w:jc w:val="both"/>
      </w:pPr>
      <w:r>
        <w:t xml:space="preserve">Сферический токамак Глобус-М </w:t>
      </w:r>
      <w:r w:rsidRPr="000B7F3E">
        <w:t>[1]</w:t>
      </w:r>
      <w:r>
        <w:t xml:space="preserve"> оборудован инжектором нейтральных частиц, способным доставлять в плазму дейтериевый/водородный пу</w:t>
      </w:r>
      <w:bookmarkStart w:id="5" w:name="_GoBack"/>
      <w:bookmarkEnd w:id="5"/>
      <w:r>
        <w:t xml:space="preserve">чок атомов мощностью 1 МВт с энергией до 30 кэВ </w:t>
      </w:r>
      <w:r w:rsidRPr="000B7F3E">
        <w:t>[2]</w:t>
      </w:r>
      <w:r>
        <w:t xml:space="preserve">. В последнее время на установке достигнут определенный прогресс в исследованиях нагрева плазмы и генерации тока пучком атомов </w:t>
      </w:r>
      <w:r w:rsidRPr="000B7F3E">
        <w:t>[</w:t>
      </w:r>
      <w:r>
        <w:t>3</w:t>
      </w:r>
      <w:r w:rsidRPr="000B7F3E">
        <w:t>]</w:t>
      </w:r>
      <w:r>
        <w:t xml:space="preserve">. Эксперименты проводили в плазме токамака при тороидальном магнитном поле </w:t>
      </w:r>
      <w:r w:rsidRPr="000C5482">
        <w:rPr>
          <w:bCs/>
          <w:lang w:val="en-US"/>
        </w:rPr>
        <w:t>B</w:t>
      </w:r>
      <w:r w:rsidRPr="000C5482">
        <w:rPr>
          <w:bCs/>
          <w:vertAlign w:val="subscript"/>
          <w:lang w:val="en-US"/>
        </w:rPr>
        <w:t>tor</w:t>
      </w:r>
      <w:r>
        <w:rPr>
          <w:bCs/>
        </w:rPr>
        <w:t xml:space="preserve"> = 0,4 </w:t>
      </w:r>
      <w:r w:rsidRPr="000C5482">
        <w:rPr>
          <w:bCs/>
          <w:lang w:val="en-US"/>
        </w:rPr>
        <w:t>T</w:t>
      </w:r>
      <w:r>
        <w:rPr>
          <w:bCs/>
        </w:rPr>
        <w:t xml:space="preserve">л, в диапазоне токов плазмы 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= </w:t>
      </w:r>
      <w:r>
        <w:rPr>
          <w:bCs/>
        </w:rPr>
        <w:t>0,</w:t>
      </w:r>
      <w:r w:rsidRPr="000C5482">
        <w:rPr>
          <w:bCs/>
        </w:rPr>
        <w:t>1</w:t>
      </w:r>
      <w:r>
        <w:rPr>
          <w:bCs/>
        </w:rPr>
        <w:t>7 – </w:t>
      </w:r>
      <w:r w:rsidRPr="000C5482">
        <w:rPr>
          <w:bCs/>
        </w:rPr>
        <w:t>0</w:t>
      </w:r>
      <w:r>
        <w:rPr>
          <w:bCs/>
        </w:rPr>
        <w:t>,</w:t>
      </w:r>
      <w:r w:rsidRPr="000C5482">
        <w:rPr>
          <w:bCs/>
        </w:rPr>
        <w:t>2</w:t>
      </w:r>
      <w:r>
        <w:rPr>
          <w:bCs/>
        </w:rPr>
        <w:t>3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rPr>
          <w:bCs/>
        </w:rPr>
        <w:t>,</w:t>
      </w:r>
      <w:r w:rsidRPr="005A4115">
        <w:t xml:space="preserve"> </w:t>
      </w:r>
      <w:r>
        <w:t xml:space="preserve">прицельный параметр инжекции составлял </w:t>
      </w:r>
      <w:smartTag w:uri="urn:schemas-microsoft-com:office:smarttags" w:element="metricconverter">
        <w:smartTagPr>
          <w:attr w:name="ProductID" w:val="32 см"/>
        </w:smartTagPr>
        <w:r>
          <w:t>32 см</w:t>
        </w:r>
      </w:smartTag>
      <w:r>
        <w:rPr>
          <w:bCs/>
        </w:rPr>
        <w:t>. Водород и дейтерий использовались в качестве рабочего газа для плазмы-мишени и инжектируемого пучка.</w:t>
      </w:r>
    </w:p>
    <w:p w:rsidR="009D134F" w:rsidRPr="009F3265" w:rsidRDefault="009D134F" w:rsidP="009D134F">
      <w:pPr>
        <w:ind w:firstLine="284"/>
        <w:jc w:val="both"/>
        <w:rPr>
          <w:bCs/>
        </w:rPr>
      </w:pPr>
      <w:r>
        <w:rPr>
          <w:bCs/>
        </w:rPr>
        <w:t xml:space="preserve">Обсуждается программа модернизации комплекса нейтральной инжекции токамака Глобус-М2, которая включает в себя модернизацию существующего нейтрального инжектора, ввод в строй его нового ионного источника с энергией частиц до 40 кэВ и установку второго инжектора, который обеспечит дополнительный пучок водорода/дейтерия мощностью 1 МВт с энергией до 50 кэВ. </w:t>
      </w:r>
      <w:r>
        <w:t xml:space="preserve">Выполнен анализ геометрии инжекции второго пучка атомов, и выбрана оптимальная схема экспериментов. Для моделирования потерь быстрых частиц использовали трехмерный алгоритм </w:t>
      </w:r>
      <w:r w:rsidRPr="000B7F3E">
        <w:t>[</w:t>
      </w:r>
      <w:r>
        <w:t>4</w:t>
      </w:r>
      <w:r w:rsidRPr="000B7F3E">
        <w:t>]</w:t>
      </w:r>
      <w:r>
        <w:t>, в то время как численные расчеты основных параметров плазмы для разрядов Глобус-М2 (</w:t>
      </w:r>
      <w:r w:rsidRPr="000C5482">
        <w:rPr>
          <w:bCs/>
          <w:lang w:val="en-US"/>
        </w:rPr>
        <w:t>B</w:t>
      </w:r>
      <w:r w:rsidRPr="000C5482">
        <w:rPr>
          <w:bCs/>
          <w:vertAlign w:val="subscript"/>
          <w:lang w:val="en-US"/>
        </w:rPr>
        <w:t>tor</w:t>
      </w:r>
      <w:r>
        <w:rPr>
          <w:bCs/>
        </w:rPr>
        <w:t xml:space="preserve"> </w:t>
      </w:r>
      <w:r w:rsidRPr="00E73B76">
        <w:rPr>
          <w:rFonts w:ascii="Times" w:hAnsi="Times"/>
        </w:rPr>
        <w:t>≤</w:t>
      </w:r>
      <w:r>
        <w:rPr>
          <w:rFonts w:asciiTheme="minorHAnsi" w:hAnsiTheme="minorHAnsi"/>
        </w:rPr>
        <w:t xml:space="preserve"> </w:t>
      </w:r>
      <w:r>
        <w:rPr>
          <w:bCs/>
        </w:rPr>
        <w:t xml:space="preserve">1 </w:t>
      </w:r>
      <w:r w:rsidRPr="000C5482">
        <w:rPr>
          <w:bCs/>
          <w:lang w:val="en-US"/>
        </w:rPr>
        <w:t>T</w:t>
      </w:r>
      <w:r>
        <w:rPr>
          <w:bCs/>
        </w:rPr>
        <w:t xml:space="preserve">л, </w:t>
      </w:r>
      <w:r w:rsidRPr="000C5482">
        <w:rPr>
          <w:bCs/>
          <w:lang w:val="en-US"/>
        </w:rPr>
        <w:t>I</w:t>
      </w:r>
      <w:r w:rsidRPr="000C5482">
        <w:rPr>
          <w:bCs/>
          <w:vertAlign w:val="subscript"/>
          <w:lang w:val="en-US"/>
        </w:rPr>
        <w:t>p</w:t>
      </w:r>
      <w:r w:rsidRPr="000C5482">
        <w:rPr>
          <w:bCs/>
        </w:rPr>
        <w:t xml:space="preserve"> </w:t>
      </w:r>
      <w:r w:rsidRPr="00E73B76">
        <w:rPr>
          <w:rFonts w:ascii="Times" w:hAnsi="Times"/>
        </w:rPr>
        <w:t>≤</w:t>
      </w:r>
      <w:r>
        <w:rPr>
          <w:rFonts w:asciiTheme="minorHAnsi" w:hAnsiTheme="minorHAnsi"/>
        </w:rPr>
        <w:t xml:space="preserve"> </w:t>
      </w:r>
      <w:r>
        <w:rPr>
          <w:bCs/>
        </w:rPr>
        <w:t>0,5</w:t>
      </w:r>
      <w:r w:rsidRPr="000C5482">
        <w:rPr>
          <w:bCs/>
        </w:rPr>
        <w:t xml:space="preserve"> </w:t>
      </w:r>
      <w:r w:rsidRPr="000C5482">
        <w:rPr>
          <w:bCs/>
          <w:lang w:val="en-US"/>
        </w:rPr>
        <w:t>MA</w:t>
      </w:r>
      <w:r>
        <w:t xml:space="preserve">) выполняли с помощью кода </w:t>
      </w:r>
      <w:r>
        <w:rPr>
          <w:lang w:val="en-US"/>
        </w:rPr>
        <w:t>ASTRA</w:t>
      </w:r>
      <w:r>
        <w:t xml:space="preserve"> </w:t>
      </w:r>
      <w:r w:rsidRPr="000B7F3E">
        <w:t>[</w:t>
      </w:r>
      <w:r>
        <w:t>5</w:t>
      </w:r>
      <w:r w:rsidRPr="000B7F3E">
        <w:t>]</w:t>
      </w:r>
      <w:r w:rsidRPr="00264642">
        <w:t>.</w:t>
      </w:r>
      <w:r>
        <w:t xml:space="preserve"> Кроме этого, представлены первые результаты</w:t>
      </w:r>
      <w:r w:rsidRPr="00B07849">
        <w:t xml:space="preserve"> </w:t>
      </w:r>
      <w:r>
        <w:t xml:space="preserve">выполненного для токамака Глобус-М моделирования радиальных профилей плотности тока быстрых ионов на основе работы </w:t>
      </w:r>
      <w:r w:rsidRPr="005714E6">
        <w:t>[6]</w:t>
      </w:r>
      <w:r>
        <w:t xml:space="preserve"> с учётом экранирующего эффекта электронов плазмы.</w:t>
      </w:r>
    </w:p>
    <w:p w:rsidR="009D134F" w:rsidRDefault="009D134F" w:rsidP="009D134F">
      <w:pPr>
        <w:ind w:firstLine="284"/>
        <w:jc w:val="both"/>
      </w:pPr>
      <w:r>
        <w:t>В заключении приводятся результаты предсказательного моделирования параметров разряда токамака Глобус-М2 с инжекцией двух пучков атомов.</w:t>
      </w:r>
    </w:p>
    <w:p w:rsidR="009D134F" w:rsidRPr="00A92146" w:rsidRDefault="009D134F" w:rsidP="009D134F">
      <w:pPr>
        <w:ind w:firstLine="284"/>
        <w:jc w:val="both"/>
        <w:rPr>
          <w:bCs/>
        </w:rPr>
      </w:pPr>
      <w:r>
        <w:rPr>
          <w:bCs/>
        </w:rPr>
        <w:t xml:space="preserve">Работа выполнена при финансовой поддержке РФФИ в рамках научного проекта № </w:t>
      </w:r>
      <w:r>
        <w:rPr>
          <w:rStyle w:val="30"/>
        </w:rPr>
        <w:t>16-32-00454 мол_а</w:t>
      </w:r>
      <w:r>
        <w:rPr>
          <w:bCs/>
        </w:rPr>
        <w:t>.</w:t>
      </w:r>
    </w:p>
    <w:p w:rsidR="009D134F" w:rsidRPr="00B203CB" w:rsidRDefault="009D134F" w:rsidP="009D134F">
      <w:pPr>
        <w:pStyle w:val="Zv-TitleReferences"/>
      </w:pPr>
      <w:r w:rsidRPr="00887BD2">
        <w:t>Литература</w:t>
      </w:r>
    </w:p>
    <w:p w:rsidR="009D134F" w:rsidRPr="00E73B76" w:rsidRDefault="009D134F" w:rsidP="009D134F">
      <w:pPr>
        <w:numPr>
          <w:ilvl w:val="0"/>
          <w:numId w:val="8"/>
        </w:numPr>
        <w:jc w:val="both"/>
      </w:pPr>
      <w:r w:rsidRPr="00E73B76">
        <w:t>Гусев В.К., Голант В.Е., Гусаков Е.З. и др., ЖТФ, т.69 (1999) № 9, стр. 58-62</w:t>
      </w:r>
    </w:p>
    <w:p w:rsidR="009D134F" w:rsidRPr="00E73B76" w:rsidRDefault="009D134F" w:rsidP="009D134F">
      <w:pPr>
        <w:numPr>
          <w:ilvl w:val="0"/>
          <w:numId w:val="8"/>
        </w:numPr>
        <w:shd w:val="clear" w:color="auto" w:fill="FFFFFF"/>
        <w:jc w:val="both"/>
      </w:pPr>
      <w:r w:rsidRPr="00E73B76">
        <w:t>Гусев В. К.</w:t>
      </w:r>
      <w:r w:rsidRPr="00E73B76">
        <w:rPr>
          <w:iCs/>
        </w:rPr>
        <w:t xml:space="preserve">, Деч А.В., Есипов Л.А. и др., </w:t>
      </w:r>
      <w:r w:rsidRPr="00E73B76">
        <w:t>ЖТФ, т.77 (2007) № 9, стр. 28-43</w:t>
      </w:r>
    </w:p>
    <w:p w:rsidR="009D134F" w:rsidRPr="00E73B76" w:rsidRDefault="009D134F" w:rsidP="009D134F">
      <w:pPr>
        <w:numPr>
          <w:ilvl w:val="0"/>
          <w:numId w:val="8"/>
        </w:numPr>
        <w:jc w:val="both"/>
      </w:pPr>
      <w:r w:rsidRPr="00E73B76">
        <w:rPr>
          <w:bCs/>
        </w:rPr>
        <w:t xml:space="preserve">Щёголев П.Б., Бахарев Н.Н., Гусев В.К. </w:t>
      </w:r>
      <w:r w:rsidRPr="00E73B76">
        <w:rPr>
          <w:iCs/>
        </w:rPr>
        <w:t xml:space="preserve">и др., </w:t>
      </w:r>
      <w:r w:rsidRPr="00E73B76">
        <w:t>ЖТФ, т.85 (2015) № 9, стр. 62-66</w:t>
      </w:r>
    </w:p>
    <w:p w:rsidR="009D134F" w:rsidRPr="00E73B76" w:rsidRDefault="009D134F" w:rsidP="009D134F">
      <w:pPr>
        <w:numPr>
          <w:ilvl w:val="0"/>
          <w:numId w:val="8"/>
        </w:numPr>
        <w:jc w:val="both"/>
        <w:rPr>
          <w:lang w:val="en-US"/>
        </w:rPr>
      </w:pPr>
      <w:r w:rsidRPr="00E73B76">
        <w:rPr>
          <w:lang w:val="en-US"/>
        </w:rPr>
        <w:t>Bakharev N.N., Chernyshev F.V., </w:t>
      </w:r>
      <w:hyperlink r:id="rId8" w:tooltip="Show Author Details" w:history="1">
        <w:r w:rsidRPr="00E73B76">
          <w:rPr>
            <w:rStyle w:val="a8"/>
            <w:lang w:val="en-US"/>
          </w:rPr>
          <w:t>Goncharov P.R.</w:t>
        </w:r>
      </w:hyperlink>
      <w:r w:rsidRPr="00E73B76">
        <w:rPr>
          <w:lang w:val="en-US"/>
        </w:rPr>
        <w:t xml:space="preserve">, et al., </w:t>
      </w:r>
      <w:hyperlink r:id="rId9" w:tooltip="Go to the information page for this source" w:history="1">
        <w:r w:rsidRPr="00E73B76">
          <w:rPr>
            <w:rStyle w:val="a8"/>
            <w:lang w:val="en-US"/>
          </w:rPr>
          <w:t>Nuclear Fusion</w:t>
        </w:r>
      </w:hyperlink>
      <w:r w:rsidRPr="00E73B76">
        <w:rPr>
          <w:lang w:val="en-US"/>
        </w:rPr>
        <w:t>, 55 (2015) 043023</w:t>
      </w:r>
    </w:p>
    <w:p w:rsidR="009D134F" w:rsidRPr="00916EF2" w:rsidRDefault="009D134F" w:rsidP="009D134F">
      <w:pPr>
        <w:numPr>
          <w:ilvl w:val="0"/>
          <w:numId w:val="8"/>
        </w:numPr>
        <w:jc w:val="both"/>
        <w:rPr>
          <w:lang w:val="en-US"/>
        </w:rPr>
      </w:pPr>
      <w:r w:rsidRPr="00E73B76">
        <w:rPr>
          <w:lang w:val="en-US"/>
        </w:rPr>
        <w:t>Pereversev G.V., Yushmanov P.N., (2002), IPP, 5/98, Garching, Germany</w:t>
      </w:r>
    </w:p>
    <w:p w:rsidR="009D134F" w:rsidRPr="005714E6" w:rsidRDefault="009D134F" w:rsidP="009D134F">
      <w:pPr>
        <w:pStyle w:val="a9"/>
        <w:numPr>
          <w:ilvl w:val="0"/>
          <w:numId w:val="8"/>
        </w:numPr>
        <w:rPr>
          <w:lang w:val="en-US"/>
        </w:rPr>
      </w:pPr>
      <w:r w:rsidRPr="005714E6">
        <w:rPr>
          <w:lang w:val="en-US"/>
        </w:rPr>
        <w:t xml:space="preserve">Goncharov P.R., </w:t>
      </w:r>
      <w:r w:rsidRPr="005714E6">
        <w:rPr>
          <w:rStyle w:val="nowrap"/>
          <w:lang w:val="en-US"/>
        </w:rPr>
        <w:t>Kuteev B.V.</w:t>
      </w:r>
      <w:r w:rsidRPr="005714E6">
        <w:rPr>
          <w:lang w:val="en-US"/>
        </w:rPr>
        <w:t xml:space="preserve">, </w:t>
      </w:r>
      <w:r w:rsidRPr="005714E6">
        <w:rPr>
          <w:rStyle w:val="nowrap"/>
          <w:lang w:val="en-US"/>
        </w:rPr>
        <w:t>Sergeev V.Yu.,</w:t>
      </w:r>
      <w:r w:rsidRPr="005714E6">
        <w:rPr>
          <w:lang w:val="en-US"/>
        </w:rPr>
        <w:t xml:space="preserve"> et al., Nuclear Fusion, 51 (2011) 103042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27" w:rsidRDefault="00E96327">
      <w:r>
        <w:separator/>
      </w:r>
    </w:p>
  </w:endnote>
  <w:endnote w:type="continuationSeparator" w:id="0">
    <w:p w:rsidR="00E96327" w:rsidRDefault="00E96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20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3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27" w:rsidRDefault="00E96327">
      <w:r>
        <w:separator/>
      </w:r>
    </w:p>
  </w:footnote>
  <w:footnote w:type="continuationSeparator" w:id="0">
    <w:p w:rsidR="00E96327" w:rsidRDefault="00E96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9D134F" w:rsidRDefault="0044720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63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47203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134F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96327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uiPriority w:val="99"/>
    <w:rsid w:val="009D134F"/>
    <w:pPr>
      <w:spacing w:before="120"/>
    </w:pPr>
    <w:rPr>
      <w:b/>
      <w:bCs/>
      <w:szCs w:val="20"/>
      <w:lang w:eastAsia="en-US"/>
    </w:rPr>
  </w:style>
  <w:style w:type="character" w:customStyle="1" w:styleId="30">
    <w:name w:val="Название объекта3"/>
    <w:basedOn w:val="a0"/>
    <w:rsid w:val="009D134F"/>
  </w:style>
  <w:style w:type="character" w:styleId="a8">
    <w:name w:val="Hyperlink"/>
    <w:basedOn w:val="a0"/>
    <w:uiPriority w:val="99"/>
    <w:rsid w:val="009D134F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9D134F"/>
    <w:pPr>
      <w:ind w:left="720"/>
      <w:contextualSpacing/>
    </w:pPr>
  </w:style>
  <w:style w:type="character" w:customStyle="1" w:styleId="nowrap">
    <w:name w:val="nowrap"/>
    <w:basedOn w:val="a0"/>
    <w:rsid w:val="009D1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i?authorId=7004324221&amp;amp;eid=2-s2.0-849486144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_shchegolev@mail.ioff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opus.com/source/sourceInfo.uri?sourceId=29066&amp;origin=recordpag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инжекция нейтрального пучка для нагрева и генерации токов в сферическом токамаке Глобус-М, Глобус-м2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2017-01-12T15:22:00Z</dcterms:created>
  <dcterms:modified xsi:type="dcterms:W3CDTF">2017-01-12T15:24:00Z</dcterms:modified>
</cp:coreProperties>
</file>