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4F" w:rsidRDefault="0048174F" w:rsidP="0048174F">
      <w:pPr>
        <w:pStyle w:val="Zv-Titlereport"/>
      </w:pPr>
      <w:r w:rsidRPr="008268AF">
        <w:t>результат</w:t>
      </w:r>
      <w:r>
        <w:t>ы</w:t>
      </w:r>
      <w:r w:rsidRPr="008268AF">
        <w:t xml:space="preserve"> исследовани</w:t>
      </w:r>
      <w:r>
        <w:t>й</w:t>
      </w:r>
      <w:r w:rsidRPr="008268AF">
        <w:t xml:space="preserve"> переноса </w:t>
      </w:r>
      <w:r>
        <w:br/>
      </w:r>
      <w:r w:rsidRPr="008268AF">
        <w:t>легких, средних и тяжелых примесей на токамаке Т-10</w:t>
      </w:r>
    </w:p>
    <w:p w:rsidR="0048174F" w:rsidRPr="00FC1799" w:rsidRDefault="0048174F" w:rsidP="0048174F">
      <w:pPr>
        <w:pStyle w:val="Zv-Author"/>
      </w:pPr>
      <w:bookmarkStart w:id="0" w:name="_Hlk467087295"/>
      <w:r>
        <w:rPr>
          <w:vertAlign w:val="superscript"/>
        </w:rPr>
        <w:t>1</w:t>
      </w:r>
      <w:bookmarkEnd w:id="0"/>
      <w:r w:rsidRPr="00FC1799">
        <w:t xml:space="preserve">Нургалиев М.Р., </w:t>
      </w:r>
      <w:r>
        <w:rPr>
          <w:vertAlign w:val="superscript"/>
        </w:rPr>
        <w:t>1</w:t>
      </w:r>
      <w:r w:rsidRPr="00FC1799">
        <w:t xml:space="preserve">Крупин В.А., </w:t>
      </w:r>
      <w:r>
        <w:rPr>
          <w:vertAlign w:val="superscript"/>
        </w:rPr>
        <w:t>1</w:t>
      </w:r>
      <w:r w:rsidRPr="00FC1799">
        <w:t xml:space="preserve">Ключников Л.А., </w:t>
      </w:r>
      <w:r>
        <w:rPr>
          <w:vertAlign w:val="superscript"/>
        </w:rPr>
        <w:t>1</w:t>
      </w:r>
      <w:r w:rsidRPr="00FC1799">
        <w:t xml:space="preserve">Немец А.Р., </w:t>
      </w:r>
      <w:r>
        <w:rPr>
          <w:vertAlign w:val="superscript"/>
        </w:rPr>
        <w:t>1,2</w:t>
      </w:r>
      <w:r w:rsidRPr="00FC1799">
        <w:t>Земцов</w:t>
      </w:r>
      <w:r>
        <w:t> </w:t>
      </w:r>
      <w:r w:rsidRPr="00FC1799">
        <w:t>И.А., </w:t>
      </w:r>
      <w:r>
        <w:rPr>
          <w:vertAlign w:val="superscript"/>
        </w:rPr>
        <w:t>1</w:t>
      </w:r>
      <w:r w:rsidRPr="00FC1799">
        <w:t xml:space="preserve">Днестровский А.Ю., </w:t>
      </w:r>
      <w:r>
        <w:rPr>
          <w:vertAlign w:val="superscript"/>
        </w:rPr>
        <w:t>1</w:t>
      </w:r>
      <w:r w:rsidRPr="00FC1799">
        <w:t xml:space="preserve">Сарычев Д.В., </w:t>
      </w:r>
      <w:r>
        <w:rPr>
          <w:vertAlign w:val="superscript"/>
        </w:rPr>
        <w:t>1</w:t>
      </w:r>
      <w:r w:rsidRPr="00FC1799">
        <w:t xml:space="preserve">Лисица В.С., </w:t>
      </w:r>
      <w:r>
        <w:rPr>
          <w:vertAlign w:val="superscript"/>
        </w:rPr>
        <w:t>1</w:t>
      </w:r>
      <w:r w:rsidRPr="00FC1799">
        <w:t xml:space="preserve">Грашин С.А., </w:t>
      </w:r>
      <w:r>
        <w:rPr>
          <w:vertAlign w:val="superscript"/>
        </w:rPr>
        <w:t>1</w:t>
      </w:r>
      <w:r w:rsidRPr="00FC1799">
        <w:t xml:space="preserve">Рыжаков Д.В., </w:t>
      </w:r>
      <w:r>
        <w:rPr>
          <w:vertAlign w:val="superscript"/>
        </w:rPr>
        <w:t>1</w:t>
      </w:r>
      <w:r w:rsidRPr="00FC1799">
        <w:t xml:space="preserve">Сергеев Д.С., </w:t>
      </w:r>
      <w:r>
        <w:rPr>
          <w:vertAlign w:val="superscript"/>
        </w:rPr>
        <w:t>1</w:t>
      </w:r>
      <w:r w:rsidRPr="00FC1799">
        <w:t>Мустафин Н.А.</w:t>
      </w:r>
    </w:p>
    <w:p w:rsidR="0048174F" w:rsidRPr="004D75A1" w:rsidRDefault="0048174F" w:rsidP="0048174F">
      <w:pPr>
        <w:pStyle w:val="Zv-Organization"/>
        <w:spacing w:after="0"/>
        <w:rPr>
          <w:rStyle w:val="apple-style-span"/>
          <w:i w:val="0"/>
          <w:color w:val="000000"/>
        </w:rPr>
      </w:pPr>
      <w:r>
        <w:rPr>
          <w:rStyle w:val="apple-style-span"/>
          <w:color w:val="000000"/>
          <w:vertAlign w:val="superscript"/>
        </w:rPr>
        <w:t>1</w:t>
      </w:r>
      <w:bookmarkStart w:id="1" w:name="_Hlk466654619"/>
      <w:r w:rsidRPr="002F20E6">
        <w:rPr>
          <w:szCs w:val="24"/>
        </w:rPr>
        <w:t>Национальный</w:t>
      </w:r>
      <w:r w:rsidRPr="00FC1799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FC1799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FC1799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FC1799">
        <w:rPr>
          <w:szCs w:val="24"/>
        </w:rPr>
        <w:t xml:space="preserve"> </w:t>
      </w:r>
      <w:r>
        <w:rPr>
          <w:szCs w:val="24"/>
        </w:rPr>
        <w:t>институт</w:t>
      </w:r>
      <w:r w:rsidRPr="00FC1799">
        <w:rPr>
          <w:szCs w:val="24"/>
        </w:rPr>
        <w:t xml:space="preserve">», </w:t>
      </w:r>
      <w:r>
        <w:rPr>
          <w:szCs w:val="24"/>
        </w:rPr>
        <w:t>г</w:t>
      </w:r>
      <w:r w:rsidRPr="00FC1799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FC1799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1"/>
      <w:r>
        <w:rPr>
          <w:szCs w:val="24"/>
        </w:rPr>
        <w:t>,</w:t>
      </w:r>
      <w:r>
        <w:t xml:space="preserve"> </w:t>
      </w:r>
      <w:hyperlink r:id="rId7" w:history="1">
        <w:r w:rsidRPr="00B8527C">
          <w:rPr>
            <w:rStyle w:val="a8"/>
          </w:rPr>
          <w:t>maxim.nurgaliev@gmail.com</w:t>
        </w:r>
      </w:hyperlink>
      <w:r>
        <w:br/>
      </w:r>
      <w:r w:rsidRPr="004D75A1">
        <w:rPr>
          <w:rStyle w:val="apple-style-span"/>
          <w:color w:val="000000"/>
          <w:vertAlign w:val="superscript"/>
        </w:rPr>
        <w:t>2</w:t>
      </w:r>
      <w:bookmarkStart w:id="2" w:name="_Hlk467073993"/>
      <w:r>
        <w:t>Московский государственный технический университет им. Н</w:t>
      </w:r>
      <w:r w:rsidRPr="00FC1799">
        <w:t>.</w:t>
      </w:r>
      <w:r>
        <w:t>Э</w:t>
      </w:r>
      <w:r w:rsidRPr="00FC1799">
        <w:t xml:space="preserve">. </w:t>
      </w:r>
      <w:r>
        <w:t>Баумана</w:t>
      </w:r>
      <w:r w:rsidRPr="00FC1799">
        <w:t xml:space="preserve">, </w:t>
      </w:r>
      <w:r>
        <w:t>г</w:t>
      </w:r>
      <w:r w:rsidRPr="00FC1799">
        <w:t xml:space="preserve">. </w:t>
      </w:r>
      <w:r>
        <w:t>Москва</w:t>
      </w:r>
      <w:r w:rsidRPr="00FC1799">
        <w:t xml:space="preserve">, </w:t>
      </w:r>
      <w:r>
        <w:t>Россия</w:t>
      </w:r>
      <w:bookmarkEnd w:id="2"/>
    </w:p>
    <w:p w:rsidR="0048174F" w:rsidRPr="006175F8" w:rsidRDefault="0048174F" w:rsidP="0048174F">
      <w:pPr>
        <w:pStyle w:val="Zv-bodyreport"/>
        <w:spacing w:line="216" w:lineRule="auto"/>
        <w:rPr>
          <w:spacing w:val="-2"/>
        </w:rPr>
      </w:pPr>
      <w:r w:rsidRPr="006175F8">
        <w:rPr>
          <w:spacing w:val="-2"/>
        </w:rPr>
        <w:t>На токамаке Т-10 в течение длительного времени проводятся исследования переноса примесей в разрядах с омическим и ЭЦР нагревом. В экспериментах [1] с инжекцией Ar и K получены</w:t>
      </w:r>
      <w:r>
        <w:rPr>
          <w:spacing w:val="-2"/>
        </w:rPr>
        <w:t xml:space="preserve"> следующие</w:t>
      </w:r>
      <w:r w:rsidRPr="006175F8">
        <w:rPr>
          <w:spacing w:val="-2"/>
        </w:rPr>
        <w:t xml:space="preserve"> зависимости профилей коэффициентов аномального переноса от параметров плазмы в омических режимах:</w:t>
      </w:r>
    </w:p>
    <w:p w:rsidR="0048174F" w:rsidRPr="006175F8" w:rsidRDefault="0048174F" w:rsidP="0048174F">
      <w:pPr>
        <w:pStyle w:val="Zv-bodyreport"/>
        <w:spacing w:line="216" w:lineRule="auto"/>
        <w:jc w:val="right"/>
        <w:rPr>
          <w:spacing w:val="-2"/>
        </w:rPr>
      </w:pPr>
      <w:r w:rsidRPr="006175F8">
        <w:rPr>
          <w:spacing w:val="-2"/>
          <w:position w:val="-32"/>
        </w:rPr>
        <w:object w:dxaOrig="54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72.25pt;height:36pt" o:ole="">
            <v:imagedata r:id="rId8" o:title=""/>
          </v:shape>
          <o:OLEObject Type="Embed" ProgID="Equation.DSMT4" ShapeID="_x0000_i1036" DrawAspect="Content" ObjectID="_1544890200" r:id="rId9"/>
        </w:object>
      </w:r>
      <w:r w:rsidRPr="006175F8">
        <w:rPr>
          <w:spacing w:val="-2"/>
        </w:rPr>
        <w:t xml:space="preserve">                           (1)</w:t>
      </w:r>
    </w:p>
    <w:p w:rsidR="0048174F" w:rsidRPr="006175F8" w:rsidRDefault="0048174F" w:rsidP="0048174F">
      <w:pPr>
        <w:pStyle w:val="Zv-bodyreport"/>
        <w:spacing w:line="216" w:lineRule="auto"/>
        <w:ind w:firstLine="0"/>
        <w:rPr>
          <w:spacing w:val="-2"/>
        </w:rPr>
      </w:pPr>
      <w:r w:rsidRPr="006175F8">
        <w:rPr>
          <w:spacing w:val="-2"/>
        </w:rPr>
        <w:t xml:space="preserve">где </w:t>
      </w:r>
      <w:r w:rsidRPr="006175F8">
        <w:rPr>
          <w:i/>
          <w:spacing w:val="-2"/>
          <w:lang w:val="en-US"/>
        </w:rPr>
        <w:t>D</w:t>
      </w:r>
      <w:r w:rsidRPr="006175F8">
        <w:rPr>
          <w:i/>
          <w:spacing w:val="-2"/>
          <w:vertAlign w:val="subscript"/>
          <w:lang w:val="en-US"/>
        </w:rPr>
        <w:t>an</w:t>
      </w:r>
      <w:r>
        <w:rPr>
          <w:spacing w:val="-2"/>
        </w:rPr>
        <w:t xml:space="preserve"> —</w:t>
      </w:r>
      <w:r w:rsidRPr="006175F8">
        <w:rPr>
          <w:spacing w:val="-2"/>
        </w:rPr>
        <w:t xml:space="preserve"> в м</w:t>
      </w:r>
      <w:r w:rsidRPr="006175F8">
        <w:rPr>
          <w:spacing w:val="-2"/>
          <w:vertAlign w:val="superscript"/>
        </w:rPr>
        <w:t>2</w:t>
      </w:r>
      <w:r w:rsidRPr="006175F8">
        <w:rPr>
          <w:spacing w:val="-2"/>
        </w:rPr>
        <w:t xml:space="preserve">/с; </w:t>
      </w:r>
      <w:r w:rsidRPr="006175F8">
        <w:rPr>
          <w:i/>
          <w:spacing w:val="-2"/>
          <w:lang w:val="en-US"/>
        </w:rPr>
        <w:t>I</w:t>
      </w:r>
      <w:r w:rsidRPr="006175F8">
        <w:rPr>
          <w:i/>
          <w:spacing w:val="-2"/>
          <w:vertAlign w:val="subscript"/>
          <w:lang w:val="en-US"/>
        </w:rPr>
        <w:t>pl</w:t>
      </w:r>
      <w:r>
        <w:rPr>
          <w:spacing w:val="-2"/>
        </w:rPr>
        <w:t xml:space="preserve"> —</w:t>
      </w:r>
      <w:r w:rsidRPr="006175F8">
        <w:rPr>
          <w:spacing w:val="-2"/>
        </w:rPr>
        <w:t xml:space="preserve"> в кА; </w:t>
      </w:r>
      <w:r w:rsidRPr="006175F8">
        <w:rPr>
          <w:i/>
          <w:spacing w:val="-2"/>
          <w:lang w:val="en-US"/>
        </w:rPr>
        <w:t>n</w:t>
      </w:r>
      <w:r w:rsidRPr="006175F8">
        <w:rPr>
          <w:i/>
          <w:spacing w:val="-2"/>
          <w:vertAlign w:val="subscript"/>
          <w:lang w:val="en-US"/>
        </w:rPr>
        <w:t>e</w:t>
      </w:r>
      <w:r>
        <w:rPr>
          <w:spacing w:val="-2"/>
        </w:rPr>
        <w:t xml:space="preserve"> —</w:t>
      </w:r>
      <w:r w:rsidRPr="006175F8">
        <w:rPr>
          <w:spacing w:val="-2"/>
        </w:rPr>
        <w:t xml:space="preserve"> в 10</w:t>
      </w:r>
      <w:r w:rsidRPr="006175F8">
        <w:rPr>
          <w:spacing w:val="-2"/>
          <w:vertAlign w:val="superscript"/>
        </w:rPr>
        <w:t>19</w:t>
      </w:r>
      <w:r w:rsidRPr="006175F8">
        <w:rPr>
          <w:spacing w:val="-2"/>
        </w:rPr>
        <w:t xml:space="preserve"> м</w:t>
      </w:r>
      <w:r>
        <w:rPr>
          <w:spacing w:val="-2"/>
          <w:vertAlign w:val="superscript"/>
        </w:rPr>
        <w:t>–</w:t>
      </w:r>
      <w:r w:rsidRPr="006175F8">
        <w:rPr>
          <w:spacing w:val="-2"/>
          <w:vertAlign w:val="superscript"/>
        </w:rPr>
        <w:t>3</w:t>
      </w:r>
      <w:r w:rsidRPr="006175F8">
        <w:rPr>
          <w:spacing w:val="-2"/>
        </w:rPr>
        <w:t xml:space="preserve">. В ОН плазме Т-10 динамическое время удержания, определенное по распаду ВУФ-линии иона </w:t>
      </w:r>
      <w:r w:rsidRPr="006175F8">
        <w:rPr>
          <w:spacing w:val="-2"/>
          <w:lang w:val="en-US"/>
        </w:rPr>
        <w:t>K</w:t>
      </w:r>
      <w:r w:rsidRPr="006175F8">
        <w:rPr>
          <w:spacing w:val="-2"/>
          <w:vertAlign w:val="superscript"/>
        </w:rPr>
        <w:t>16+</w:t>
      </w:r>
      <w:r w:rsidRPr="006175F8">
        <w:rPr>
          <w:spacing w:val="-2"/>
        </w:rPr>
        <w:t xml:space="preserve"> [1], линейно увеличивается с ростом параметра </w:t>
      </w:r>
      <w:r w:rsidRPr="006175F8">
        <w:rPr>
          <w:spacing w:val="-2"/>
          <w:position w:val="-14"/>
        </w:rPr>
        <w:object w:dxaOrig="1680" w:dyaOrig="400">
          <v:shape id="_x0000_i1025" type="#_x0000_t75" style="width:85.5pt;height:21pt" o:ole="">
            <v:imagedata r:id="rId10" o:title=""/>
          </v:shape>
          <o:OLEObject Type="Embed" ProgID="Equation.DSMT4" ShapeID="_x0000_i1025" DrawAspect="Content" ObjectID="_1544890201" r:id="rId11"/>
        </w:object>
      </w:r>
      <w:r w:rsidRPr="006175F8">
        <w:rPr>
          <w:spacing w:val="-2"/>
        </w:rPr>
        <w:t xml:space="preserve"> где </w:t>
      </w:r>
      <w:r w:rsidRPr="006175F8">
        <w:rPr>
          <w:spacing w:val="-2"/>
          <w:position w:val="-12"/>
        </w:rPr>
        <w:object w:dxaOrig="260" w:dyaOrig="360">
          <v:shape id="_x0000_i1026" type="#_x0000_t75" style="width:12.75pt;height:18pt" o:ole="">
            <v:imagedata r:id="rId12" o:title=""/>
          </v:shape>
          <o:OLEObject Type="Embed" ProgID="Equation.DSMT4" ShapeID="_x0000_i1026" DrawAspect="Content" ObjectID="_1544890202" r:id="rId13"/>
        </w:object>
      </w:r>
      <w:r w:rsidRPr="006175F8">
        <w:rPr>
          <w:spacing w:val="-2"/>
        </w:rPr>
        <w:t xml:space="preserve"> и </w:t>
      </w:r>
      <w:r w:rsidRPr="006175F8">
        <w:rPr>
          <w:spacing w:val="-2"/>
          <w:position w:val="-14"/>
          <w:lang w:val="en-US"/>
        </w:rPr>
        <w:object w:dxaOrig="400" w:dyaOrig="400">
          <v:shape id="_x0000_i1027" type="#_x0000_t75" style="width:20.25pt;height:20.25pt" o:ole="">
            <v:imagedata r:id="rId14" o:title=""/>
          </v:shape>
          <o:OLEObject Type="Embed" ProgID="Equation.DSMT4" ShapeID="_x0000_i1027" DrawAspect="Content" ObjectID="_1544890203" r:id="rId15"/>
        </w:object>
      </w:r>
      <w:r>
        <w:rPr>
          <w:spacing w:val="-2"/>
        </w:rPr>
        <w:t xml:space="preserve"> —</w:t>
      </w:r>
      <w:r w:rsidRPr="006175F8">
        <w:rPr>
          <w:spacing w:val="-2"/>
        </w:rPr>
        <w:t xml:space="preserve"> средние электронная плотность в м</w:t>
      </w:r>
      <w:r>
        <w:rPr>
          <w:spacing w:val="-2"/>
          <w:vertAlign w:val="superscript"/>
        </w:rPr>
        <w:t>–</w:t>
      </w:r>
      <w:r w:rsidRPr="006175F8">
        <w:rPr>
          <w:spacing w:val="-2"/>
          <w:vertAlign w:val="superscript"/>
        </w:rPr>
        <w:t>3</w:t>
      </w:r>
      <w:r w:rsidRPr="006175F8">
        <w:rPr>
          <w:spacing w:val="-2"/>
        </w:rPr>
        <w:t xml:space="preserve"> и эффективный заряд соответственно, </w:t>
      </w:r>
      <w:r w:rsidRPr="006175F8">
        <w:rPr>
          <w:i/>
          <w:spacing w:val="-2"/>
        </w:rPr>
        <w:t>I</w:t>
      </w:r>
      <w:r w:rsidRPr="006175F8">
        <w:rPr>
          <w:i/>
          <w:spacing w:val="-2"/>
          <w:vertAlign w:val="subscript"/>
        </w:rPr>
        <w:t>pl</w:t>
      </w:r>
      <w:r>
        <w:rPr>
          <w:spacing w:val="-2"/>
        </w:rPr>
        <w:t xml:space="preserve"> —</w:t>
      </w:r>
      <w:r w:rsidRPr="006175F8">
        <w:rPr>
          <w:spacing w:val="-2"/>
        </w:rPr>
        <w:t xml:space="preserve"> ток плазмы в кА. Такая же зависимость от </w:t>
      </w:r>
      <w:r w:rsidRPr="006175F8">
        <w:rPr>
          <w:spacing w:val="-2"/>
          <w:lang w:val="en-US"/>
        </w:rPr>
        <w:t>γ</w:t>
      </w:r>
      <w:r w:rsidRPr="006175F8">
        <w:rPr>
          <w:spacing w:val="-2"/>
        </w:rPr>
        <w:t xml:space="preserve"> наблюдается и у балансных характеристик удержания собственных примесей </w:t>
      </w:r>
      <w:r w:rsidRPr="006175F8">
        <w:rPr>
          <w:spacing w:val="-2"/>
          <w:lang w:val="en-US"/>
        </w:rPr>
        <w:t>C</w:t>
      </w:r>
      <w:r w:rsidRPr="006175F8">
        <w:rPr>
          <w:spacing w:val="-2"/>
        </w:rPr>
        <w:t xml:space="preserve">, </w:t>
      </w:r>
      <w:r w:rsidRPr="006175F8">
        <w:rPr>
          <w:spacing w:val="-2"/>
          <w:lang w:val="en-US"/>
        </w:rPr>
        <w:t>O</w:t>
      </w:r>
      <w:r w:rsidRPr="006175F8">
        <w:rPr>
          <w:spacing w:val="-2"/>
        </w:rPr>
        <w:t xml:space="preserve"> [2] и </w:t>
      </w:r>
      <w:r w:rsidRPr="006175F8">
        <w:rPr>
          <w:spacing w:val="-2"/>
          <w:lang w:val="en-US"/>
        </w:rPr>
        <w:t>W</w:t>
      </w:r>
      <w:r w:rsidRPr="006175F8">
        <w:rPr>
          <w:spacing w:val="-2"/>
        </w:rPr>
        <w:t xml:space="preserve"> [3]. В работах [2,</w:t>
      </w:r>
      <w:r>
        <w:rPr>
          <w:spacing w:val="-2"/>
        </w:rPr>
        <w:t> </w:t>
      </w:r>
      <w:r w:rsidRPr="006175F8">
        <w:rPr>
          <w:spacing w:val="-2"/>
        </w:rPr>
        <w:t xml:space="preserve">3] в качестве характеристики удержания рассматривается степень аккумуляции примеси в центре плазмы </w:t>
      </w:r>
      <w:r w:rsidRPr="006175F8">
        <w:rPr>
          <w:spacing w:val="-2"/>
          <w:position w:val="-12"/>
        </w:rPr>
        <w:object w:dxaOrig="1520" w:dyaOrig="360">
          <v:shape id="_x0000_i1028" type="#_x0000_t75" style="width:75.75pt;height:18pt" o:ole="">
            <v:imagedata r:id="rId16" o:title=""/>
          </v:shape>
          <o:OLEObject Type="Embed" ProgID="Equation.DSMT4" ShapeID="_x0000_i1028" DrawAspect="Content" ObjectID="_1544890204" r:id="rId17"/>
        </w:object>
      </w:r>
      <w:r w:rsidRPr="006175F8">
        <w:rPr>
          <w:spacing w:val="-2"/>
        </w:rPr>
        <w:t xml:space="preserve">, которая является результатом двух процессов: пикирования, </w:t>
      </w:r>
      <w:r w:rsidRPr="006175F8">
        <w:rPr>
          <w:spacing w:val="-2"/>
          <w:position w:val="-12"/>
        </w:rPr>
        <w:object w:dxaOrig="940" w:dyaOrig="360">
          <v:shape id="_x0000_i1029" type="#_x0000_t75" style="width:47.25pt;height:18pt" o:ole="">
            <v:imagedata r:id="rId18" o:title=""/>
          </v:shape>
          <o:OLEObject Type="Embed" ProgID="Equation.DSMT4" ShapeID="_x0000_i1029" DrawAspect="Content" ObjectID="_1544890205" r:id="rId19"/>
        </w:object>
      </w:r>
      <w:r w:rsidRPr="006175F8">
        <w:rPr>
          <w:spacing w:val="-2"/>
        </w:rPr>
        <w:t xml:space="preserve">, и накопления </w:t>
      </w:r>
      <w:r w:rsidRPr="006175F8">
        <w:rPr>
          <w:spacing w:val="-2"/>
          <w:position w:val="-12"/>
        </w:rPr>
        <w:object w:dxaOrig="720" w:dyaOrig="360">
          <v:shape id="_x0000_i1030" type="#_x0000_t75" style="width:36pt;height:18pt" o:ole="">
            <v:imagedata r:id="rId20" o:title=""/>
          </v:shape>
          <o:OLEObject Type="Embed" ProgID="Equation.DSMT4" ShapeID="_x0000_i1030" DrawAspect="Content" ObjectID="_1544890206" r:id="rId21"/>
        </w:object>
      </w:r>
      <w:r w:rsidRPr="006175F8">
        <w:rPr>
          <w:spacing w:val="-2"/>
        </w:rPr>
        <w:t xml:space="preserve">, здесь </w:t>
      </w:r>
      <w:r w:rsidRPr="006175F8">
        <w:rPr>
          <w:spacing w:val="-2"/>
          <w:position w:val="-12"/>
        </w:rPr>
        <w:object w:dxaOrig="600" w:dyaOrig="360">
          <v:shape id="_x0000_i1031" type="#_x0000_t75" style="width:30pt;height:18pt" o:ole="">
            <v:imagedata r:id="rId22" o:title=""/>
          </v:shape>
          <o:OLEObject Type="Embed" ProgID="Equation.DSMT4" ShapeID="_x0000_i1031" DrawAspect="Content" ObjectID="_1544890207" r:id="rId23"/>
        </w:object>
      </w:r>
      <w:r w:rsidRPr="006175F8">
        <w:rPr>
          <w:spacing w:val="-2"/>
        </w:rPr>
        <w:t xml:space="preserve"> и </w:t>
      </w:r>
      <w:r w:rsidRPr="006175F8">
        <w:rPr>
          <w:spacing w:val="-2"/>
          <w:position w:val="-12"/>
        </w:rPr>
        <w:object w:dxaOrig="279" w:dyaOrig="360">
          <v:shape id="_x0000_i1032" type="#_x0000_t75" style="width:14.25pt;height:18pt" o:ole="">
            <v:imagedata r:id="rId24" o:title=""/>
          </v:shape>
          <o:OLEObject Type="Embed" ProgID="Equation.DSMT4" ShapeID="_x0000_i1032" DrawAspect="Content" ObjectID="_1544890208" r:id="rId25"/>
        </w:object>
      </w:r>
      <w:r>
        <w:rPr>
          <w:spacing w:val="-2"/>
        </w:rPr>
        <w:t xml:space="preserve"> —</w:t>
      </w:r>
      <w:r w:rsidRPr="006175F8">
        <w:rPr>
          <w:spacing w:val="-2"/>
        </w:rPr>
        <w:t xml:space="preserve"> центральная и средне-хордовая концентрации примеси </w:t>
      </w:r>
      <w:r w:rsidRPr="006175F8">
        <w:rPr>
          <w:i/>
          <w:spacing w:val="-2"/>
          <w:lang w:val="en-US"/>
        </w:rPr>
        <w:t>Z</w:t>
      </w:r>
      <w:r w:rsidRPr="006175F8">
        <w:rPr>
          <w:spacing w:val="-2"/>
        </w:rPr>
        <w:t xml:space="preserve"> соответственно, </w:t>
      </w:r>
      <w:r w:rsidRPr="006175F8">
        <w:rPr>
          <w:spacing w:val="-2"/>
          <w:position w:val="-12"/>
        </w:rPr>
        <w:object w:dxaOrig="360" w:dyaOrig="360">
          <v:shape id="_x0000_i1033" type="#_x0000_t75" style="width:18pt;height:18pt" o:ole="">
            <v:imagedata r:id="rId26" o:title=""/>
          </v:shape>
          <o:OLEObject Type="Embed" ProgID="Equation.DSMT4" ShapeID="_x0000_i1033" DrawAspect="Content" ObjectID="_1544890209" r:id="rId27"/>
        </w:object>
      </w:r>
      <w:r>
        <w:rPr>
          <w:spacing w:val="-2"/>
        </w:rPr>
        <w:t xml:space="preserve"> —</w:t>
      </w:r>
      <w:r w:rsidRPr="006175F8">
        <w:rPr>
          <w:spacing w:val="-2"/>
        </w:rPr>
        <w:t xml:space="preserve"> источник примеси </w:t>
      </w:r>
      <w:r w:rsidRPr="006175F8">
        <w:rPr>
          <w:i/>
          <w:spacing w:val="-2"/>
          <w:lang w:val="en-US"/>
        </w:rPr>
        <w:t>Z</w:t>
      </w:r>
      <w:r w:rsidRPr="006175F8">
        <w:rPr>
          <w:spacing w:val="-2"/>
        </w:rPr>
        <w:t xml:space="preserve">, оцениваемый по линии иона низкой кратности ионизации. </w:t>
      </w:r>
    </w:p>
    <w:p w:rsidR="0048174F" w:rsidRPr="006175F8" w:rsidRDefault="0048174F" w:rsidP="0048174F">
      <w:pPr>
        <w:pStyle w:val="Zv-bodyreport"/>
        <w:spacing w:line="216" w:lineRule="auto"/>
        <w:rPr>
          <w:spacing w:val="-2"/>
        </w:rPr>
      </w:pPr>
      <w:r w:rsidRPr="006175F8">
        <w:rPr>
          <w:spacing w:val="-2"/>
        </w:rPr>
        <w:t xml:space="preserve">По мере увеличения заряда примеси </w:t>
      </w:r>
      <w:r>
        <w:rPr>
          <w:spacing w:val="-2"/>
        </w:rPr>
        <w:t xml:space="preserve">изменяются физические </w:t>
      </w:r>
      <w:r w:rsidRPr="006175F8">
        <w:rPr>
          <w:spacing w:val="-2"/>
        </w:rPr>
        <w:t>причины наблюдаем</w:t>
      </w:r>
      <w:r>
        <w:rPr>
          <w:spacing w:val="-2"/>
        </w:rPr>
        <w:t>ых</w:t>
      </w:r>
      <w:r w:rsidRPr="006175F8">
        <w:rPr>
          <w:spacing w:val="-2"/>
        </w:rPr>
        <w:t xml:space="preserve"> зависимост</w:t>
      </w:r>
      <w:r>
        <w:rPr>
          <w:spacing w:val="-2"/>
        </w:rPr>
        <w:t xml:space="preserve">ей от </w:t>
      </w:r>
      <w:r w:rsidRPr="006175F8">
        <w:rPr>
          <w:spacing w:val="-2"/>
        </w:rPr>
        <w:t xml:space="preserve">γ. Если в случае легких примесей </w:t>
      </w:r>
      <w:r w:rsidRPr="006175F8">
        <w:rPr>
          <w:spacing w:val="-2"/>
          <w:position w:val="-12"/>
        </w:rPr>
        <w:object w:dxaOrig="740" w:dyaOrig="360">
          <v:shape id="_x0000_i1034" type="#_x0000_t75" style="width:36.75pt;height:18pt" o:ole="">
            <v:imagedata r:id="rId28" o:title=""/>
          </v:shape>
          <o:OLEObject Type="Embed" ProgID="Equation.DSMT4" ShapeID="_x0000_i1034" DrawAspect="Content" ObjectID="_1544890210" r:id="rId29"/>
        </w:object>
      </w:r>
      <w:r w:rsidRPr="006175F8">
        <w:rPr>
          <w:spacing w:val="-2"/>
        </w:rPr>
        <w:t xml:space="preserve"> по причине спада аномально</w:t>
      </w:r>
      <w:r>
        <w:rPr>
          <w:spacing w:val="-2"/>
        </w:rPr>
        <w:t>го переноса</w:t>
      </w:r>
      <w:r w:rsidRPr="006175F8">
        <w:rPr>
          <w:spacing w:val="-2"/>
        </w:rPr>
        <w:t xml:space="preserve">, то для </w:t>
      </w:r>
      <w:r w:rsidRPr="006175F8">
        <w:rPr>
          <w:spacing w:val="-2"/>
          <w:lang w:val="en-US"/>
        </w:rPr>
        <w:t>W</w:t>
      </w:r>
      <w:r w:rsidRPr="006175F8">
        <w:rPr>
          <w:spacing w:val="-2"/>
        </w:rPr>
        <w:t xml:space="preserve"> такая зависимость обусловлена усилением неоклассического переноса</w:t>
      </w:r>
      <w:r>
        <w:rPr>
          <w:spacing w:val="-2"/>
        </w:rPr>
        <w:t xml:space="preserve"> примесей</w:t>
      </w:r>
      <w:r w:rsidRPr="006175F8">
        <w:rPr>
          <w:spacing w:val="-2"/>
        </w:rPr>
        <w:t xml:space="preserve"> с ростом параметра γ. По этой причине в разрядах с предельным уровнем </w:t>
      </w:r>
      <w:r w:rsidRPr="006175F8">
        <w:rPr>
          <w:i/>
          <w:spacing w:val="-2"/>
          <w:lang w:val="en-US"/>
        </w:rPr>
        <w:t>Z</w:t>
      </w:r>
      <w:r w:rsidRPr="006175F8">
        <w:rPr>
          <w:i/>
          <w:spacing w:val="-2"/>
          <w:vertAlign w:val="subscript"/>
          <w:lang w:val="en-US"/>
        </w:rPr>
        <w:t>eff</w:t>
      </w:r>
      <w:r>
        <w:rPr>
          <w:i/>
          <w:spacing w:val="-2"/>
        </w:rPr>
        <w:t> </w:t>
      </w:r>
      <w:r w:rsidRPr="006175F8">
        <w:rPr>
          <w:spacing w:val="-2"/>
        </w:rPr>
        <w:t>≥</w:t>
      </w:r>
      <w:r>
        <w:rPr>
          <w:spacing w:val="-2"/>
        </w:rPr>
        <w:t> </w:t>
      </w:r>
      <w:r w:rsidRPr="006175F8">
        <w:rPr>
          <w:spacing w:val="-2"/>
        </w:rPr>
        <w:t>3</w:t>
      </w:r>
      <w:r w:rsidRPr="00FC1799">
        <w:rPr>
          <w:spacing w:val="-2"/>
        </w:rPr>
        <w:t>,</w:t>
      </w:r>
      <w:r w:rsidRPr="006175F8">
        <w:rPr>
          <w:spacing w:val="-2"/>
        </w:rPr>
        <w:t xml:space="preserve">5 не происходит сильного обострения профиля концентрации </w:t>
      </w:r>
      <w:r w:rsidRPr="006175F8">
        <w:rPr>
          <w:spacing w:val="-2"/>
          <w:lang w:val="en-US"/>
        </w:rPr>
        <w:t>W</w:t>
      </w:r>
      <w:r w:rsidRPr="006175F8">
        <w:rPr>
          <w:spacing w:val="-2"/>
        </w:rPr>
        <w:t>, а сильная аккумуляция создана исключительно интегральным накоплением. Таким образом, зависимости аномальных коэффициентов переноса, впервые полученных в [1], хорошо описывают балансы легких, средних и тяжелых примесей в омических разрядах Т-10.</w:t>
      </w:r>
      <w:bookmarkStart w:id="3" w:name="_GoBack"/>
      <w:bookmarkEnd w:id="3"/>
    </w:p>
    <w:p w:rsidR="0048174F" w:rsidRPr="00FC1799" w:rsidRDefault="0048174F" w:rsidP="0048174F">
      <w:pPr>
        <w:pStyle w:val="Zv-bodyreport"/>
        <w:spacing w:line="216" w:lineRule="auto"/>
        <w:rPr>
          <w:spacing w:val="-2"/>
        </w:rPr>
      </w:pPr>
      <w:r w:rsidRPr="006175F8">
        <w:rPr>
          <w:spacing w:val="-2"/>
        </w:rPr>
        <w:t xml:space="preserve">Данные исследования показывают, что в условиях омических разрядов Т-10 аккумуляция примесей в разрядах с высоким </w:t>
      </w:r>
      <w:r w:rsidRPr="006175F8">
        <w:rPr>
          <w:spacing w:val="-2"/>
          <w:lang w:val="en-US"/>
        </w:rPr>
        <w:t>γ</w:t>
      </w:r>
      <w:r w:rsidRPr="006175F8">
        <w:rPr>
          <w:spacing w:val="-2"/>
        </w:rPr>
        <w:t xml:space="preserve">, в которых в тоже время достигаются максимальные значения величин </w:t>
      </w:r>
      <w:r w:rsidRPr="006175F8">
        <w:rPr>
          <w:i/>
          <w:spacing w:val="-2"/>
        </w:rPr>
        <w:t>β</w:t>
      </w:r>
      <w:r w:rsidRPr="006175F8">
        <w:rPr>
          <w:i/>
          <w:spacing w:val="-2"/>
          <w:vertAlign w:val="subscript"/>
          <w:lang w:val="en-US"/>
        </w:rPr>
        <w:t>J</w:t>
      </w:r>
      <w:r w:rsidRPr="006175F8">
        <w:rPr>
          <w:spacing w:val="-2"/>
        </w:rPr>
        <w:t xml:space="preserve"> и </w:t>
      </w:r>
      <w:r w:rsidRPr="006175F8">
        <w:rPr>
          <w:i/>
          <w:spacing w:val="-2"/>
        </w:rPr>
        <w:t>τ</w:t>
      </w:r>
      <w:r w:rsidRPr="006175F8">
        <w:rPr>
          <w:i/>
          <w:spacing w:val="-2"/>
          <w:vertAlign w:val="subscript"/>
          <w:lang w:val="en-US"/>
        </w:rPr>
        <w:t>E</w:t>
      </w:r>
      <w:r w:rsidRPr="006175F8">
        <w:rPr>
          <w:spacing w:val="-2"/>
        </w:rPr>
        <w:t>, что обуславливает интерес именно к разрядам данного типа</w:t>
      </w:r>
      <w:r>
        <w:rPr>
          <w:spacing w:val="-2"/>
        </w:rPr>
        <w:t xml:space="preserve"> как в ОН, так и в ЭЦРН режимах</w:t>
      </w:r>
      <w:r w:rsidRPr="006175F8">
        <w:rPr>
          <w:spacing w:val="-2"/>
        </w:rPr>
        <w:t>. Введение дополнительного ЭЦР нагрева позволяет предотвратить подобную аккумуляцию примесей в центре за счет усиления аномального переноса</w:t>
      </w:r>
      <w:r>
        <w:rPr>
          <w:spacing w:val="-2"/>
        </w:rPr>
        <w:t xml:space="preserve"> частиц</w:t>
      </w:r>
      <w:r w:rsidRPr="006175F8">
        <w:rPr>
          <w:spacing w:val="-2"/>
        </w:rPr>
        <w:t xml:space="preserve">, который приводит к выполаживанию профилей концентрации примесей до профиля электронов. При этом происходит сильное снижение </w:t>
      </w:r>
      <w:r w:rsidRPr="006175F8">
        <w:rPr>
          <w:spacing w:val="-2"/>
          <w:position w:val="-12"/>
        </w:rPr>
        <w:object w:dxaOrig="600" w:dyaOrig="360">
          <v:shape id="_x0000_i1035" type="#_x0000_t75" style="width:30pt;height:18pt" o:ole="">
            <v:imagedata r:id="rId22" o:title=""/>
          </v:shape>
          <o:OLEObject Type="Embed" ProgID="Equation.DSMT4" ShapeID="_x0000_i1035" DrawAspect="Content" ObjectID="_1544890211" r:id="rId30"/>
        </w:object>
      </w:r>
      <w:r w:rsidRPr="006175F8">
        <w:rPr>
          <w:spacing w:val="-2"/>
        </w:rPr>
        <w:t>. Эффективность данного процесса увеличивается с ростом мощности ЭЦР нагрева, но также определяется начальными омическими параметрами.</w:t>
      </w:r>
    </w:p>
    <w:p w:rsidR="0048174F" w:rsidRPr="00FC1799" w:rsidRDefault="0048174F" w:rsidP="0048174F">
      <w:pPr>
        <w:pStyle w:val="Zv-bodyreport"/>
        <w:spacing w:line="216" w:lineRule="auto"/>
      </w:pPr>
      <w:r w:rsidRPr="00FC1799">
        <w:t>Работа выполнена за счет гранта РНФ № 14-22-00193.</w:t>
      </w:r>
    </w:p>
    <w:p w:rsidR="0048174F" w:rsidRPr="004D75A1" w:rsidRDefault="0048174F" w:rsidP="0048174F">
      <w:pPr>
        <w:pStyle w:val="Zv-TitleReferences-en"/>
        <w:spacing w:line="216" w:lineRule="auto"/>
      </w:pPr>
      <w:r w:rsidRPr="004D75A1">
        <w:t>Литература</w:t>
      </w:r>
    </w:p>
    <w:p w:rsidR="0048174F" w:rsidRDefault="0048174F" w:rsidP="0048174F">
      <w:pPr>
        <w:pStyle w:val="Zv-References-en"/>
        <w:spacing w:line="216" w:lineRule="auto"/>
      </w:pPr>
      <w:r w:rsidRPr="006F5EF0">
        <w:rPr>
          <w:spacing w:val="-4"/>
        </w:rPr>
        <w:t>V. Krupin et.al.</w:t>
      </w:r>
      <w:r>
        <w:rPr>
          <w:spacing w:val="-4"/>
        </w:rPr>
        <w:t>,</w:t>
      </w:r>
      <w:r w:rsidRPr="006F5EF0">
        <w:rPr>
          <w:spacing w:val="-4"/>
        </w:rPr>
        <w:t xml:space="preserve"> 12</w:t>
      </w:r>
      <w:r w:rsidRPr="006F5EF0">
        <w:rPr>
          <w:spacing w:val="-4"/>
          <w:vertAlign w:val="superscript"/>
        </w:rPr>
        <w:t>th</w:t>
      </w:r>
      <w:r w:rsidRPr="006F5EF0">
        <w:rPr>
          <w:spacing w:val="-4"/>
        </w:rPr>
        <w:t xml:space="preserve"> EPS Conference on Plasma Physics</w:t>
      </w:r>
      <w:r w:rsidRPr="00EE744D">
        <w:rPr>
          <w:spacing w:val="-4"/>
        </w:rPr>
        <w:t>,</w:t>
      </w:r>
      <w:r>
        <w:rPr>
          <w:spacing w:val="-4"/>
        </w:rPr>
        <w:t xml:space="preserve"> Budapest</w:t>
      </w:r>
      <w:r w:rsidRPr="006F5EF0">
        <w:rPr>
          <w:spacing w:val="-4"/>
        </w:rPr>
        <w:t xml:space="preserve"> 1985, pp.</w:t>
      </w:r>
      <w:r>
        <w:rPr>
          <w:spacing w:val="-4"/>
        </w:rPr>
        <w:t> </w:t>
      </w:r>
      <w:r w:rsidRPr="006F5EF0">
        <w:rPr>
          <w:spacing w:val="-4"/>
        </w:rPr>
        <w:t>207-210</w:t>
      </w:r>
    </w:p>
    <w:p w:rsidR="0048174F" w:rsidRPr="00376463" w:rsidRDefault="0048174F" w:rsidP="0048174F">
      <w:pPr>
        <w:pStyle w:val="Zv-References-en"/>
        <w:spacing w:line="216" w:lineRule="auto"/>
      </w:pPr>
      <w:r w:rsidRPr="006F5EF0">
        <w:rPr>
          <w:spacing w:val="-4"/>
        </w:rPr>
        <w:t>M. Nurgaliev et.al., 43</w:t>
      </w:r>
      <w:r w:rsidRPr="006F5EF0">
        <w:rPr>
          <w:spacing w:val="-4"/>
          <w:vertAlign w:val="superscript"/>
        </w:rPr>
        <w:t>rd</w:t>
      </w:r>
      <w:r w:rsidRPr="006F5EF0">
        <w:rPr>
          <w:spacing w:val="-4"/>
        </w:rPr>
        <w:t xml:space="preserve"> EPS Conference on Plasma Physics, </w:t>
      </w:r>
      <w:r>
        <w:rPr>
          <w:spacing w:val="-4"/>
        </w:rPr>
        <w:t xml:space="preserve">Leuven </w:t>
      </w:r>
      <w:r w:rsidRPr="006F5EF0">
        <w:rPr>
          <w:spacing w:val="-4"/>
        </w:rPr>
        <w:t>2016, P2.069</w:t>
      </w:r>
    </w:p>
    <w:p w:rsidR="0048174F" w:rsidRPr="004D75A1" w:rsidRDefault="0048174F" w:rsidP="0048174F">
      <w:pPr>
        <w:pStyle w:val="Zv-References-en"/>
        <w:spacing w:line="216" w:lineRule="auto"/>
      </w:pPr>
      <w:r>
        <w:rPr>
          <w:spacing w:val="-4"/>
        </w:rPr>
        <w:t>M. Nurgaliev et.al., 26</w:t>
      </w:r>
      <w:r w:rsidRPr="00376463">
        <w:rPr>
          <w:spacing w:val="-4"/>
          <w:vertAlign w:val="superscript"/>
        </w:rPr>
        <w:t>th</w:t>
      </w:r>
      <w:r>
        <w:rPr>
          <w:spacing w:val="-4"/>
        </w:rPr>
        <w:t xml:space="preserve"> </w:t>
      </w:r>
      <w:r w:rsidRPr="00376463">
        <w:rPr>
          <w:spacing w:val="-4"/>
        </w:rPr>
        <w:t>IAEA Fusion Energy Conference</w:t>
      </w:r>
      <w:r>
        <w:rPr>
          <w:spacing w:val="-4"/>
        </w:rPr>
        <w:t>, Kyoto, 2016, EX/P8-36</w:t>
      </w:r>
    </w:p>
    <w:p w:rsidR="00654A7B" w:rsidRPr="0048174F" w:rsidRDefault="00654A7B" w:rsidP="00E7021A">
      <w:pPr>
        <w:pStyle w:val="Zv-Titlereport"/>
        <w:rPr>
          <w:lang w:val="en-US"/>
        </w:rPr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31"/>
      <w:footerReference w:type="even" r:id="rId32"/>
      <w:footerReference w:type="default" r:id="rId3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49B" w:rsidRDefault="007E149B">
      <w:r>
        <w:separator/>
      </w:r>
    </w:p>
  </w:endnote>
  <w:endnote w:type="continuationSeparator" w:id="0">
    <w:p w:rsidR="007E149B" w:rsidRDefault="007E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2585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2585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174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49B" w:rsidRDefault="007E149B">
      <w:r>
        <w:separator/>
      </w:r>
    </w:p>
  </w:footnote>
  <w:footnote w:type="continuationSeparator" w:id="0">
    <w:p w:rsidR="007E149B" w:rsidRDefault="007E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48174F" w:rsidRDefault="0002585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149B"/>
    <w:rsid w:val="0002206C"/>
    <w:rsid w:val="0002585E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8174F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7E149B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apple-style-span">
    <w:name w:val="apple-style-span"/>
    <w:basedOn w:val="a0"/>
    <w:rsid w:val="0048174F"/>
  </w:style>
  <w:style w:type="character" w:styleId="a8">
    <w:name w:val="Hyperlink"/>
    <w:basedOn w:val="a0"/>
    <w:unhideWhenUsed/>
    <w:rsid w:val="004817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hyperlink" Target="mailto:maxim.nurgaliev@gmail.com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6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исследований переноса легких, средних и тяжелых примесей на токамаке Т-10</vt:lpstr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исследований переноса легких, средних и тяжелых примесей на токамаке Т-10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2017-01-02T16:16:00Z</dcterms:created>
  <dcterms:modified xsi:type="dcterms:W3CDTF">2017-01-02T16:23:00Z</dcterms:modified>
</cp:coreProperties>
</file>