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9D" w:rsidRPr="00AF47AF" w:rsidRDefault="0069059D" w:rsidP="0069059D">
      <w:pPr>
        <w:pStyle w:val="Zv-Titlereport"/>
        <w:rPr>
          <w:lang w:val="en-US"/>
        </w:rPr>
      </w:pPr>
      <w:bookmarkStart w:id="0" w:name="OLE_LINK17"/>
      <w:bookmarkStart w:id="1" w:name="OLE_LINK18"/>
      <w:r w:rsidRPr="008F6BE4">
        <w:rPr>
          <w:lang w:val="en-US"/>
        </w:rPr>
        <w:t>LH-transition dynamics in a tokamak in the vicinity of GAM</w:t>
      </w:r>
      <w:r w:rsidRPr="00AF47AF">
        <w:rPr>
          <w:lang w:val="en-US"/>
        </w:rPr>
        <w:t xml:space="preserve"> </w:t>
      </w:r>
      <w:r>
        <w:rPr>
          <w:lang w:val="en-US"/>
        </w:rPr>
        <w:t>and pellet injection</w:t>
      </w:r>
      <w:bookmarkEnd w:id="0"/>
      <w:bookmarkEnd w:id="1"/>
    </w:p>
    <w:p w:rsidR="0069059D" w:rsidRPr="008F6BE4" w:rsidRDefault="0069059D" w:rsidP="0069059D">
      <w:pPr>
        <w:pStyle w:val="Zv-Author"/>
        <w:rPr>
          <w:lang w:val="en-US"/>
        </w:rPr>
      </w:pPr>
      <w:r w:rsidRPr="008F6BE4">
        <w:rPr>
          <w:u w:val="single"/>
          <w:lang w:val="en-US"/>
        </w:rPr>
        <w:t>Belokurov A.A.</w:t>
      </w:r>
      <w:r w:rsidRPr="008F6BE4">
        <w:rPr>
          <w:vertAlign w:val="superscript"/>
          <w:lang w:val="en-US"/>
        </w:rPr>
        <w:t>1</w:t>
      </w:r>
      <w:r w:rsidRPr="008F6BE4">
        <w:rPr>
          <w:lang w:val="en-US"/>
        </w:rPr>
        <w:t xml:space="preserve">, </w:t>
      </w:r>
      <w:r>
        <w:rPr>
          <w:lang w:val="en-US"/>
        </w:rPr>
        <w:t>A</w:t>
      </w:r>
      <w:r w:rsidRPr="008F6BE4">
        <w:rPr>
          <w:lang w:val="en-US"/>
        </w:rPr>
        <w:t>skinazi L.G.</w:t>
      </w:r>
      <w:r w:rsidRPr="008F6BE4">
        <w:rPr>
          <w:vertAlign w:val="superscript"/>
          <w:lang w:val="en-US"/>
        </w:rPr>
        <w:t>1</w:t>
      </w:r>
      <w:r w:rsidRPr="008F6BE4">
        <w:rPr>
          <w:lang w:val="en-US"/>
        </w:rPr>
        <w:t>, Bulanin V.V.</w:t>
      </w:r>
      <w:r w:rsidRPr="008F6BE4">
        <w:rPr>
          <w:vertAlign w:val="superscript"/>
          <w:lang w:val="en-US"/>
        </w:rPr>
        <w:t>2</w:t>
      </w:r>
      <w:r w:rsidRPr="008F6BE4">
        <w:rPr>
          <w:lang w:val="en-US"/>
        </w:rPr>
        <w:t>, Gurchenko A.D.</w:t>
      </w:r>
      <w:r w:rsidRPr="008F6BE4">
        <w:rPr>
          <w:vertAlign w:val="superscript"/>
          <w:lang w:val="en-US"/>
        </w:rPr>
        <w:t>1</w:t>
      </w:r>
      <w:r w:rsidRPr="008F6BE4">
        <w:rPr>
          <w:lang w:val="en-US"/>
        </w:rPr>
        <w:t>, Gusakov E.Z.</w:t>
      </w:r>
      <w:r w:rsidRPr="008F6BE4">
        <w:rPr>
          <w:vertAlign w:val="superscript"/>
          <w:lang w:val="en-US"/>
        </w:rPr>
        <w:t>1</w:t>
      </w:r>
      <w:r w:rsidRPr="008F6BE4">
        <w:rPr>
          <w:lang w:val="en-US"/>
        </w:rPr>
        <w:t>, Kiviniemi T.P.</w:t>
      </w:r>
      <w:r w:rsidRPr="008F6BE4">
        <w:rPr>
          <w:vertAlign w:val="superscript"/>
          <w:lang w:val="en-US"/>
        </w:rPr>
        <w:t>3</w:t>
      </w:r>
      <w:r w:rsidRPr="008F6BE4">
        <w:rPr>
          <w:lang w:val="en-US"/>
        </w:rPr>
        <w:t>, Kornev V.A.</w:t>
      </w:r>
      <w:r w:rsidRPr="008F6BE4">
        <w:rPr>
          <w:vertAlign w:val="superscript"/>
          <w:lang w:val="en-US"/>
        </w:rPr>
        <w:t>1</w:t>
      </w:r>
      <w:r w:rsidRPr="008F6BE4">
        <w:rPr>
          <w:lang w:val="en-US"/>
        </w:rPr>
        <w:t>, Korpilo T.</w:t>
      </w:r>
      <w:r w:rsidRPr="008F6BE4">
        <w:rPr>
          <w:vertAlign w:val="superscript"/>
          <w:lang w:val="en-US"/>
        </w:rPr>
        <w:t>3</w:t>
      </w:r>
      <w:r w:rsidRPr="008F6BE4">
        <w:rPr>
          <w:lang w:val="en-US"/>
        </w:rPr>
        <w:t>, Krikunov S.V.</w:t>
      </w:r>
      <w:r w:rsidRPr="008F6BE4">
        <w:rPr>
          <w:vertAlign w:val="superscript"/>
          <w:lang w:val="en-US"/>
        </w:rPr>
        <w:t>1</w:t>
      </w:r>
      <w:r w:rsidRPr="008F6BE4">
        <w:rPr>
          <w:lang w:val="en-US"/>
        </w:rPr>
        <w:t>, Lebedev S.V.</w:t>
      </w:r>
      <w:r w:rsidRPr="008F6BE4">
        <w:rPr>
          <w:vertAlign w:val="superscript"/>
          <w:lang w:val="en-US"/>
        </w:rPr>
        <w:t>1</w:t>
      </w:r>
      <w:r w:rsidRPr="008F6BE4">
        <w:rPr>
          <w:lang w:val="en-US"/>
        </w:rPr>
        <w:t>, Leerink S.</w:t>
      </w:r>
      <w:r w:rsidRPr="008F6BE4">
        <w:rPr>
          <w:vertAlign w:val="superscript"/>
          <w:lang w:val="en-US"/>
        </w:rPr>
        <w:t>3</w:t>
      </w:r>
      <w:r w:rsidRPr="008F6BE4">
        <w:rPr>
          <w:lang w:val="en-US"/>
        </w:rPr>
        <w:t>, Machielsen M.</w:t>
      </w:r>
      <w:r w:rsidRPr="008F6BE4">
        <w:rPr>
          <w:vertAlign w:val="superscript"/>
          <w:lang w:val="en-US"/>
        </w:rPr>
        <w:t>4</w:t>
      </w:r>
      <w:r w:rsidRPr="008F6BE4">
        <w:rPr>
          <w:lang w:val="en-US"/>
        </w:rPr>
        <w:t>, Niskala P.</w:t>
      </w:r>
      <w:r w:rsidRPr="008F6BE4">
        <w:rPr>
          <w:vertAlign w:val="superscript"/>
          <w:lang w:val="en-US"/>
        </w:rPr>
        <w:t>3</w:t>
      </w:r>
      <w:r w:rsidRPr="008F6BE4">
        <w:rPr>
          <w:lang w:val="en-US"/>
        </w:rPr>
        <w:t>, Petrov A.V.</w:t>
      </w:r>
      <w:r w:rsidRPr="008F6BE4">
        <w:rPr>
          <w:vertAlign w:val="superscript"/>
          <w:lang w:val="en-US"/>
        </w:rPr>
        <w:t>2</w:t>
      </w:r>
      <w:r w:rsidRPr="008F6BE4">
        <w:rPr>
          <w:lang w:val="en-US"/>
        </w:rPr>
        <w:t>, Tukachinsky A.S.</w:t>
      </w:r>
      <w:r w:rsidRPr="008F6BE4">
        <w:rPr>
          <w:vertAlign w:val="superscript"/>
          <w:lang w:val="en-US"/>
        </w:rPr>
        <w:t>1</w:t>
      </w:r>
      <w:r w:rsidRPr="008F6BE4">
        <w:rPr>
          <w:lang w:val="en-US"/>
        </w:rPr>
        <w:t>, Yashin A.Yu.</w:t>
      </w:r>
      <w:r w:rsidRPr="008F6BE4">
        <w:rPr>
          <w:vertAlign w:val="superscript"/>
          <w:lang w:val="en-US"/>
        </w:rPr>
        <w:t>2</w:t>
      </w:r>
      <w:r w:rsidRPr="008F6BE4">
        <w:rPr>
          <w:lang w:val="en-US"/>
        </w:rPr>
        <w:t>, Zhubr N.A.</w:t>
      </w:r>
      <w:r w:rsidRPr="008F6BE4">
        <w:rPr>
          <w:vertAlign w:val="superscript"/>
          <w:lang w:val="en-US"/>
        </w:rPr>
        <w:t>1</w:t>
      </w:r>
    </w:p>
    <w:p w:rsidR="0069059D" w:rsidRPr="008F6BE4" w:rsidRDefault="0069059D" w:rsidP="0069059D">
      <w:pPr>
        <w:pStyle w:val="Zv-Organization"/>
        <w:rPr>
          <w:lang w:val="en-US"/>
        </w:rPr>
      </w:pPr>
      <w:r w:rsidRPr="0069059D">
        <w:rPr>
          <w:vertAlign w:val="superscript"/>
          <w:lang w:val="en-US"/>
        </w:rPr>
        <w:t>1</w:t>
      </w:r>
      <w:r w:rsidRPr="008F6BE4">
        <w:rPr>
          <w:lang w:val="en-US"/>
        </w:rPr>
        <w:t xml:space="preserve">Ioffe Institute, </w:t>
      </w:r>
      <w:smartTag w:uri="urn:schemas-microsoft-com:office:smarttags" w:element="City">
        <w:r w:rsidRPr="008F6BE4">
          <w:rPr>
            <w:lang w:val="en-US"/>
          </w:rPr>
          <w:t>Saint-Petersburg</w:t>
        </w:r>
      </w:smartTag>
      <w:r w:rsidRPr="008F6BE4">
        <w:rPr>
          <w:lang w:val="en-US"/>
        </w:rPr>
        <w:t xml:space="preserve">, </w:t>
      </w:r>
      <w:smartTag w:uri="urn:schemas-microsoft-com:office:smarttags" w:element="country-region">
        <w:r w:rsidRPr="008F6BE4">
          <w:rPr>
            <w:lang w:val="en-US"/>
          </w:rPr>
          <w:t>Russia</w:t>
        </w:r>
      </w:smartTag>
      <w:r w:rsidRPr="008F6BE4">
        <w:rPr>
          <w:lang w:val="en-US"/>
        </w:rPr>
        <w:t xml:space="preserve">, </w:t>
      </w:r>
      <w:hyperlink r:id="rId7" w:history="1">
        <w:r w:rsidRPr="00CA2171">
          <w:rPr>
            <w:rStyle w:val="a7"/>
            <w:lang w:val="en-US"/>
          </w:rPr>
          <w:t>belokurov@mail.ioffe.ru</w:t>
        </w:r>
      </w:hyperlink>
      <w:r>
        <w:rPr>
          <w:lang w:val="en-US"/>
        </w:rPr>
        <w:br/>
      </w:r>
      <w:r w:rsidRPr="0069059D">
        <w:rPr>
          <w:vertAlign w:val="superscript"/>
          <w:lang w:val="en-US"/>
        </w:rPr>
        <w:t>2</w:t>
      </w:r>
      <w:r w:rsidRPr="008F6BE4">
        <w:rPr>
          <w:lang w:val="en-US"/>
        </w:rPr>
        <w:t xml:space="preserve">Peter the </w:t>
      </w:r>
      <w:smartTag w:uri="urn:schemas-microsoft-com:office:smarttags" w:element="PlaceName">
        <w:r w:rsidRPr="008F6BE4">
          <w:rPr>
            <w:lang w:val="en-US"/>
          </w:rPr>
          <w:t>Great</w:t>
        </w:r>
      </w:smartTag>
      <w:r w:rsidRPr="008F6BE4">
        <w:rPr>
          <w:lang w:val="en-US"/>
        </w:rPr>
        <w:t xml:space="preserve"> </w:t>
      </w:r>
      <w:smartTag w:uri="urn:schemas-microsoft-com:office:smarttags" w:element="PlaceName">
        <w:r w:rsidRPr="008F6BE4">
          <w:rPr>
            <w:rStyle w:val="f-head"/>
            <w:lang w:val="en-US"/>
          </w:rPr>
          <w:t>Polytechnic</w:t>
        </w:r>
      </w:smartTag>
      <w:r w:rsidRPr="008F6BE4">
        <w:rPr>
          <w:rStyle w:val="f-head"/>
          <w:lang w:val="en-US"/>
        </w:rPr>
        <w:t xml:space="preserve"> </w:t>
      </w:r>
      <w:smartTag w:uri="urn:schemas-microsoft-com:office:smarttags" w:element="PlaceType">
        <w:r w:rsidRPr="008F6BE4">
          <w:rPr>
            <w:rStyle w:val="f-head"/>
            <w:lang w:val="en-US"/>
          </w:rPr>
          <w:t>University</w:t>
        </w:r>
      </w:smartTag>
      <w:r w:rsidRPr="008F6BE4">
        <w:rPr>
          <w:rStyle w:val="f-head"/>
          <w:lang w:val="en-US"/>
        </w:rPr>
        <w:t>,</w:t>
      </w:r>
      <w:r w:rsidRPr="008F6BE4">
        <w:rPr>
          <w:lang w:val="en-US"/>
        </w:rPr>
        <w:t xml:space="preserve"> </w:t>
      </w:r>
      <w:smartTag w:uri="urn:schemas-microsoft-com:office:smarttags" w:element="City">
        <w:r w:rsidRPr="008F6BE4">
          <w:rPr>
            <w:lang w:val="en-US"/>
          </w:rPr>
          <w:t>Saint-Petersburg</w:t>
        </w:r>
      </w:smartTag>
      <w:r w:rsidRPr="008F6BE4">
        <w:rPr>
          <w:lang w:val="en-US"/>
        </w:rPr>
        <w:t xml:space="preserve">, </w:t>
      </w:r>
      <w:smartTag w:uri="urn:schemas-microsoft-com:office:smarttags" w:element="country-region">
        <w:r w:rsidRPr="008F6BE4">
          <w:rPr>
            <w:lang w:val="en-US"/>
          </w:rPr>
          <w:t>Russia</w:t>
        </w:r>
      </w:smartTag>
      <w:r w:rsidRPr="008F6BE4">
        <w:rPr>
          <w:rStyle w:val="f-head"/>
          <w:lang w:val="en-US"/>
        </w:rPr>
        <w:br/>
      </w:r>
      <w:r w:rsidRPr="0069059D">
        <w:rPr>
          <w:vertAlign w:val="superscript"/>
          <w:lang w:val="en-US"/>
        </w:rPr>
        <w:t>3</w:t>
      </w:r>
      <w:smartTag w:uri="urn:schemas-microsoft-com:office:smarttags" w:element="PlaceName">
        <w:r w:rsidRPr="008F6BE4">
          <w:rPr>
            <w:lang w:val="en-US"/>
          </w:rPr>
          <w:t>Aalto</w:t>
        </w:r>
      </w:smartTag>
      <w:r w:rsidRPr="008F6BE4">
        <w:rPr>
          <w:lang w:val="en-US"/>
        </w:rPr>
        <w:t xml:space="preserve"> </w:t>
      </w:r>
      <w:smartTag w:uri="urn:schemas-microsoft-com:office:smarttags" w:element="PlaceType">
        <w:r w:rsidRPr="008F6BE4">
          <w:rPr>
            <w:lang w:val="en-US"/>
          </w:rPr>
          <w:t>University</w:t>
        </w:r>
      </w:smartTag>
      <w:r w:rsidRPr="008F6BE4">
        <w:rPr>
          <w:lang w:val="en-US"/>
        </w:rPr>
        <w:t xml:space="preserve">, </w:t>
      </w:r>
      <w:smartTag w:uri="urn:schemas-microsoft-com:office:smarttags" w:element="City">
        <w:r w:rsidRPr="008F6BE4">
          <w:rPr>
            <w:lang w:val="en-US"/>
          </w:rPr>
          <w:t>Espoo</w:t>
        </w:r>
      </w:smartTag>
      <w:r w:rsidRPr="008F6BE4">
        <w:rPr>
          <w:lang w:val="en-US"/>
        </w:rPr>
        <w:t xml:space="preserve">, </w:t>
      </w:r>
      <w:smartTag w:uri="urn:schemas-microsoft-com:office:smarttags" w:element="country-region">
        <w:r w:rsidRPr="008F6BE4">
          <w:rPr>
            <w:lang w:val="en-US"/>
          </w:rPr>
          <w:t>Finland</w:t>
        </w:r>
      </w:smartTag>
      <w:r>
        <w:rPr>
          <w:lang w:val="en-US"/>
        </w:rPr>
        <w:br/>
      </w:r>
      <w:r w:rsidRPr="0069059D">
        <w:rPr>
          <w:vertAlign w:val="superscript"/>
          <w:lang w:val="en-US"/>
        </w:rPr>
        <w:t>4</w:t>
      </w:r>
      <w:smartTag w:uri="urn:schemas-microsoft-com:office:smarttags" w:element="PlaceName">
        <w:r w:rsidRPr="008F6BE4">
          <w:rPr>
            <w:lang w:val="en-US"/>
          </w:rPr>
          <w:t>Eindhoven</w:t>
        </w:r>
      </w:smartTag>
      <w:r w:rsidRPr="008F6BE4">
        <w:rPr>
          <w:lang w:val="en-US"/>
        </w:rPr>
        <w:t xml:space="preserve"> </w:t>
      </w:r>
      <w:smartTag w:uri="urn:schemas-microsoft-com:office:smarttags" w:element="PlaceType">
        <w:r w:rsidRPr="008F6BE4">
          <w:rPr>
            <w:lang w:val="en-US"/>
          </w:rPr>
          <w:t>University</w:t>
        </w:r>
      </w:smartTag>
      <w:r w:rsidRPr="008F6BE4">
        <w:rPr>
          <w:lang w:val="en-US"/>
        </w:rPr>
        <w:t xml:space="preserve"> of Technology, </w:t>
      </w:r>
      <w:smartTag w:uri="urn:schemas-microsoft-com:office:smarttags" w:element="country-region">
        <w:smartTag w:uri="urn:schemas-microsoft-com:office:smarttags" w:element="place">
          <w:r w:rsidRPr="008F6BE4">
            <w:rPr>
              <w:lang w:val="en-US"/>
            </w:rPr>
            <w:t>Netherlands</w:t>
          </w:r>
        </w:smartTag>
      </w:smartTag>
    </w:p>
    <w:p w:rsidR="0069059D" w:rsidRPr="008F6BE4" w:rsidRDefault="0069059D" w:rsidP="0069059D">
      <w:pPr>
        <w:pStyle w:val="Zv-bodyreport"/>
        <w:rPr>
          <w:lang w:val="en-US"/>
        </w:rPr>
      </w:pPr>
      <w:r w:rsidRPr="008F6BE4">
        <w:rPr>
          <w:lang w:val="en-US"/>
        </w:rPr>
        <w:t>H-mode is a necessary operatio</w:t>
      </w:r>
      <w:r>
        <w:rPr>
          <w:lang w:val="en-US"/>
        </w:rPr>
        <w:t xml:space="preserve">n regime for a tokamak-reactor. </w:t>
      </w:r>
      <w:r w:rsidRPr="008F6BE4">
        <w:rPr>
          <w:lang w:val="en-US"/>
        </w:rPr>
        <w:t>According to modern views, for the transition to H-mode (LH-transition) it is necessary to create a self-sustaining transport barrier – area of suppressed turbulent transport in the presence of strong inhomogeneous radial electric field. However, in some tokamaks despite the existence of such inhomogeneous E</w:t>
      </w:r>
      <w:r w:rsidRPr="008F6BE4">
        <w:rPr>
          <w:vertAlign w:val="subscript"/>
          <w:lang w:val="en-US"/>
        </w:rPr>
        <w:t>r</w:t>
      </w:r>
      <w:r w:rsidRPr="008F6BE4">
        <w:rPr>
          <w:lang w:val="en-US"/>
        </w:rPr>
        <w:t>, LH-transition is impossible; thus it is crucial to analyze the possibility and causes of transition to H-mode.</w:t>
      </w:r>
    </w:p>
    <w:p w:rsidR="0069059D" w:rsidRPr="005372A1" w:rsidRDefault="0069059D" w:rsidP="0069059D">
      <w:pPr>
        <w:pStyle w:val="Zv-bodyreport"/>
        <w:rPr>
          <w:lang w:val="en-US"/>
        </w:rPr>
      </w:pPr>
      <w:r w:rsidRPr="008F6BE4">
        <w:rPr>
          <w:lang w:val="en-US"/>
        </w:rPr>
        <w:t>Tokamaks TUMAN-3M and FT-2 are conventional tokamaks that show characteristic geodesic acoustic mode (GAM) activity in the low density operating regimes, and GAM creates strong inhomogeneity of radial electric field, which could trigger LH-transition. In TUMAN-3M experiments GAM burst is always observed in low density regimes to precede the LH-transition, while in FT-2 transition never occurs despite the presence of GAM oscillations of significant amplitude.</w:t>
      </w:r>
      <w:r w:rsidRPr="00AC7D94">
        <w:rPr>
          <w:lang w:val="en-US"/>
        </w:rPr>
        <w:t xml:space="preserve"> </w:t>
      </w:r>
      <w:r>
        <w:rPr>
          <w:lang w:val="en-US"/>
        </w:rPr>
        <w:t>Also</w:t>
      </w:r>
      <w:r w:rsidRPr="005372A1">
        <w:rPr>
          <w:lang w:val="en-US"/>
        </w:rPr>
        <w:t xml:space="preserve"> </w:t>
      </w:r>
      <w:r>
        <w:rPr>
          <w:lang w:val="en-US"/>
        </w:rPr>
        <w:t>for TUMAN-3M it is possible to initiate LH-transition by means of creating steep peripheral density gradient during a pellet injection.</w:t>
      </w:r>
    </w:p>
    <w:p w:rsidR="0069059D" w:rsidRPr="008F6BE4" w:rsidRDefault="0069059D" w:rsidP="0069059D">
      <w:pPr>
        <w:pStyle w:val="Zv-bodyreport"/>
        <w:rPr>
          <w:lang w:val="en-US"/>
        </w:rPr>
      </w:pPr>
      <w:r w:rsidRPr="008F6BE4">
        <w:rPr>
          <w:lang w:val="en-US"/>
        </w:rPr>
        <w:t>By means o</w:t>
      </w:r>
      <w:r>
        <w:rPr>
          <w:lang w:val="en-US"/>
        </w:rPr>
        <w:t>f gyrokinetic simulation of GAM</w:t>
      </w:r>
      <w:r w:rsidRPr="008F6BE4">
        <w:rPr>
          <w:lang w:val="en-US"/>
        </w:rPr>
        <w:t xml:space="preserve"> qualitative and quantitative parameters of turbulence and turbulent transport were obtained in the both tokamaks; particularly, fast reaction of anomalous diffusion coefficient and particle and energy fluxes on electric field oscillations created by  GAM were discovered. </w:t>
      </w:r>
    </w:p>
    <w:p w:rsidR="0069059D" w:rsidRDefault="0069059D" w:rsidP="0069059D">
      <w:pPr>
        <w:pStyle w:val="Zv-bodyreport"/>
        <w:rPr>
          <w:lang w:val="en-US"/>
        </w:rPr>
      </w:pPr>
      <w:r w:rsidRPr="008F6BE4">
        <w:rPr>
          <w:lang w:val="en-US"/>
        </w:rPr>
        <w:t>Based on experimental data and gyrokinetic simulation results, we simulated plasma density evolution in TUMAN-3M and FT-</w:t>
      </w:r>
      <w:smartTag w:uri="urn:schemas-microsoft-com:office:smarttags" w:element="metricconverter">
        <w:smartTagPr>
          <w:attr w:name="ProductID" w:val="2 in"/>
        </w:smartTagPr>
        <w:r w:rsidRPr="008F6BE4">
          <w:rPr>
            <w:lang w:val="en-US"/>
          </w:rPr>
          <w:t>2 in</w:t>
        </w:r>
      </w:smartTag>
      <w:r w:rsidRPr="008F6BE4">
        <w:rPr>
          <w:lang w:val="en-US"/>
        </w:rPr>
        <w:t xml:space="preserve"> the presence of GAM oscillations. Simulation results show a good agreement with experimental observation. For TUMAN-3M LH-transition initiation occurs if GAM burst amplitude and duration exceeds a threshold value (GAM parameters were varied in a reasonable range near experimental ones): aside with oscillations of density gradient and radial electric field there was observed gradual increase of n</w:t>
      </w:r>
      <w:r w:rsidRPr="008F6BE4">
        <w:rPr>
          <w:vertAlign w:val="subscript"/>
          <w:lang w:val="en-US"/>
        </w:rPr>
        <w:t>e</w:t>
      </w:r>
      <w:r w:rsidRPr="008F6BE4">
        <w:rPr>
          <w:lang w:val="en-US"/>
        </w:rPr>
        <w:t xml:space="preserve"> and E</w:t>
      </w:r>
      <w:r w:rsidRPr="008F6BE4">
        <w:rPr>
          <w:vertAlign w:val="subscript"/>
          <w:lang w:val="en-US"/>
        </w:rPr>
        <w:t>r</w:t>
      </w:r>
      <w:r w:rsidRPr="008F6BE4">
        <w:rPr>
          <w:lang w:val="en-US"/>
        </w:rPr>
        <w:t xml:space="preserve"> mean values, leading to threshold value of electric field shear required for LH-transition.</w:t>
      </w:r>
      <w:r>
        <w:rPr>
          <w:lang w:val="en-US"/>
        </w:rPr>
        <w:t xml:space="preserve"> In case of pellet evaporation local and steep density gradient creates inhomogeneous radial electric field, which could lead to confinement improvement if peripheral ion temperature decrease is low enough. </w:t>
      </w:r>
      <w:r w:rsidRPr="008F6BE4">
        <w:rPr>
          <w:lang w:val="en-US"/>
        </w:rPr>
        <w:t xml:space="preserve"> For FT-2 neither experimental GAM parameters, nor doubled amplitude and duration did not yield LH-transition initiation. </w:t>
      </w:r>
    </w:p>
    <w:p w:rsidR="0069059D" w:rsidRDefault="0069059D" w:rsidP="0069059D">
      <w:pPr>
        <w:pStyle w:val="Zv-bodyreport"/>
        <w:rPr>
          <w:lang w:val="en-US"/>
        </w:rPr>
      </w:pPr>
      <w:r w:rsidRPr="008F6BE4">
        <w:rPr>
          <w:lang w:val="en-US"/>
        </w:rPr>
        <w:t>The analysis of non-linear particle flux dependence on density gradient helps to reveal possible causes of LH-transition presence or absence. Diffusion equation with radial electric field shear-dependent diffusion coefficient (and thus density gradient-dependent) in stationary case has (depending on particle source) either two stabile solutions (for L- and H-mode), or one – for one confinement mode only. The latter case, when the second stabile solution (H-mode) is impossible, corresponds to FT-2 characteristic discharge parameters; this is in agreement with experimental and numerical modeling results.</w:t>
      </w:r>
    </w:p>
    <w:p w:rsidR="0069059D" w:rsidRPr="008F6BE4" w:rsidRDefault="0069059D" w:rsidP="0069059D">
      <w:pPr>
        <w:pStyle w:val="Zv-bodyreport"/>
        <w:rPr>
          <w:lang w:val="en-US"/>
        </w:rPr>
      </w:pPr>
      <w:r>
        <w:rPr>
          <w:rFonts w:ascii="NimbusRomNo9L-Regu" w:hAnsi="NimbusRomNo9L-Regu" w:cs="NimbusRomNo9L-Regu"/>
          <w:lang w:val="en-US"/>
        </w:rPr>
        <w:t xml:space="preserve">Authors of the paper would like to acknowledge partial financial supports of RFBR grants </w:t>
      </w:r>
      <w:r w:rsidRPr="005E0930">
        <w:rPr>
          <w:rStyle w:val="caption"/>
          <w:lang w:val="en-US"/>
        </w:rPr>
        <w:t>16-32-00360</w:t>
      </w:r>
      <w:r>
        <w:rPr>
          <w:rStyle w:val="caption"/>
          <w:lang w:val="en-US"/>
        </w:rPr>
        <w:t xml:space="preserve"> (A. Belokurov),</w:t>
      </w:r>
      <w:r>
        <w:rPr>
          <w:rFonts w:ascii="NimbusRomNo9L-Regu" w:hAnsi="NimbusRomNo9L-Regu" w:cs="NimbusRomNo9L-Regu"/>
          <w:lang w:val="en-US"/>
        </w:rPr>
        <w:t xml:space="preserve"> </w:t>
      </w:r>
      <w:r w:rsidRPr="00AC6C53">
        <w:rPr>
          <w:rFonts w:ascii="NimbusRomNo9L-Regu" w:hAnsi="NimbusRomNo9L-Regu" w:cs="NimbusRomNo9L-Regu"/>
          <w:lang w:val="en-US"/>
        </w:rPr>
        <w:t>16-02-00580</w:t>
      </w:r>
      <w:r w:rsidRPr="00AC6C53" w:rsidDel="00AC6C53">
        <w:rPr>
          <w:rFonts w:ascii="NimbusRomNo9L-Regu" w:hAnsi="NimbusRomNo9L-Regu" w:cs="NimbusRomNo9L-Regu"/>
          <w:lang w:val="en-US"/>
        </w:rPr>
        <w:t xml:space="preserve"> </w:t>
      </w:r>
      <w:r>
        <w:rPr>
          <w:rFonts w:ascii="NimbusRomNo9L-Regu" w:hAnsi="NimbusRomNo9L-Regu" w:cs="NimbusRomNo9L-Regu"/>
          <w:lang w:val="en-US"/>
        </w:rPr>
        <w:t>(A. Gurchenko) and 15-02-03766 (E. Gusakov).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F7E" w:rsidRDefault="00E06F7E">
      <w:r>
        <w:separator/>
      </w:r>
    </w:p>
  </w:endnote>
  <w:endnote w:type="continuationSeparator" w:id="0">
    <w:p w:rsidR="00E06F7E" w:rsidRDefault="00E0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3C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3C0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59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F7E" w:rsidRDefault="00E06F7E">
      <w:r>
        <w:separator/>
      </w:r>
    </w:p>
  </w:footnote>
  <w:footnote w:type="continuationSeparator" w:id="0">
    <w:p w:rsidR="00E06F7E" w:rsidRDefault="00E06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205708">
      <w:rPr>
        <w:sz w:val="20"/>
        <w:lang w:val="en-US"/>
      </w:rPr>
      <w:t>4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205708">
      <w:rPr>
        <w:sz w:val="20"/>
        <w:lang w:val="en-US"/>
      </w:rPr>
      <w:t>13</w:t>
    </w:r>
    <w:r w:rsidR="00EF07A9">
      <w:rPr>
        <w:sz w:val="20"/>
        <w:lang w:val="en-US"/>
      </w:rPr>
      <w:t xml:space="preserve"> – 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201</w:t>
    </w:r>
    <w:r w:rsidR="00205708">
      <w:rPr>
        <w:sz w:val="20"/>
        <w:lang w:val="en-US"/>
      </w:rPr>
      <w:t>7</w:t>
    </w:r>
    <w:r w:rsidR="00EF07A9">
      <w:rPr>
        <w:sz w:val="20"/>
        <w:lang w:val="en-US"/>
      </w:rPr>
      <w:t>, Zvenigorod</w:t>
    </w:r>
  </w:p>
  <w:p w:rsidR="00654A7B" w:rsidRDefault="00F23C0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6F7E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9059D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D92E54"/>
    <w:rsid w:val="00E06F7E"/>
    <w:rsid w:val="00E7021A"/>
    <w:rsid w:val="00E87733"/>
    <w:rsid w:val="00EE371E"/>
    <w:rsid w:val="00EF07A9"/>
    <w:rsid w:val="00F23C0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f-head">
    <w:name w:val="f-head"/>
    <w:basedOn w:val="a0"/>
    <w:rsid w:val="0069059D"/>
  </w:style>
  <w:style w:type="character" w:customStyle="1" w:styleId="caption">
    <w:name w:val="caption"/>
    <w:basedOn w:val="a0"/>
    <w:rsid w:val="0069059D"/>
  </w:style>
  <w:style w:type="character" w:styleId="a7">
    <w:name w:val="Hyperlink"/>
    <w:basedOn w:val="a0"/>
    <w:rsid w:val="00690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okuro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Zven_2017_e</Template>
  <TotalTime>3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LH-transition dynamics in a tokamak in the vicinity of GAM and pellet injection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2017-01-02T17:09:00Z</dcterms:created>
  <dcterms:modified xsi:type="dcterms:W3CDTF">2017-01-02T17:12:00Z</dcterms:modified>
</cp:coreProperties>
</file>