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BD" w:rsidRDefault="00F96DBD" w:rsidP="00F96DBD">
      <w:pPr>
        <w:pStyle w:val="Zv-Titlereport"/>
      </w:pPr>
      <w:bookmarkStart w:id="0" w:name="_Hlk466914072"/>
      <w:bookmarkStart w:id="1" w:name="OLE_LINK1"/>
      <w:bookmarkStart w:id="2" w:name="OLE_LINK2"/>
      <w:r>
        <w:t>ИСследование разряда,</w:t>
      </w:r>
      <w:r w:rsidRPr="0030206D">
        <w:t xml:space="preserve"> </w:t>
      </w:r>
      <w:r>
        <w:t>инициированного тгц излучением в</w:t>
      </w:r>
      <w:r>
        <w:rPr>
          <w:lang w:val="en-US"/>
        </w:rPr>
        <w:t> </w:t>
      </w:r>
      <w:r>
        <w:t>неоднородном потоке газа</w:t>
      </w:r>
      <w:bookmarkEnd w:id="1"/>
      <w:bookmarkEnd w:id="2"/>
    </w:p>
    <w:p w:rsidR="00F96DBD" w:rsidRDefault="00F96DBD" w:rsidP="00F96DBD">
      <w:pPr>
        <w:pStyle w:val="Zv-Author"/>
      </w:pPr>
      <w:r>
        <w:t>Сидоров Д.С., Водопьянов А.В., Разин С.В., Сидоров А.В.</w:t>
      </w:r>
    </w:p>
    <w:p w:rsidR="00F96DBD" w:rsidRPr="00F96DBD" w:rsidRDefault="00F96DBD" w:rsidP="00F96DBD">
      <w:pPr>
        <w:pStyle w:val="Zv-Organization"/>
      </w:pPr>
      <w:r w:rsidRPr="00ED26BB">
        <w:rPr>
          <w:szCs w:val="24"/>
        </w:rPr>
        <w:t>Институт прикладной физики РАН, г. Нижний Новгород, Россия</w:t>
      </w:r>
      <w:r>
        <w:rPr>
          <w:szCs w:val="24"/>
        </w:rPr>
        <w:t>,</w:t>
      </w:r>
      <w:r w:rsidRPr="0030427A">
        <w:t xml:space="preserve"> </w:t>
      </w:r>
      <w:hyperlink r:id="rId7" w:history="1">
        <w:r w:rsidRPr="008E6EE4">
          <w:rPr>
            <w:rStyle w:val="a8"/>
            <w:lang w:val="en-US"/>
          </w:rPr>
          <w:t>dmitrisidoroff</w:t>
        </w:r>
        <w:r w:rsidRPr="008E6EE4">
          <w:rPr>
            <w:rStyle w:val="a8"/>
          </w:rPr>
          <w:t>@</w:t>
        </w:r>
        <w:r w:rsidRPr="008E6EE4">
          <w:rPr>
            <w:rStyle w:val="a8"/>
            <w:lang w:val="en-US"/>
          </w:rPr>
          <w:t>rambler</w:t>
        </w:r>
        <w:r w:rsidRPr="008E6EE4">
          <w:rPr>
            <w:rStyle w:val="a8"/>
          </w:rPr>
          <w:t>.</w:t>
        </w:r>
        <w:r w:rsidRPr="008E6EE4">
          <w:rPr>
            <w:rStyle w:val="a8"/>
            <w:lang w:val="en-US"/>
          </w:rPr>
          <w:t>ru</w:t>
        </w:r>
      </w:hyperlink>
    </w:p>
    <w:bookmarkEnd w:id="0"/>
    <w:p w:rsidR="00F96DBD" w:rsidRDefault="00F96DBD" w:rsidP="00F96DBD">
      <w:pPr>
        <w:ind w:firstLine="284"/>
        <w:jc w:val="both"/>
      </w:pPr>
      <w:r w:rsidRPr="00BB0F63">
        <w:t xml:space="preserve">Ключевым параметром, характеризующим установки по формированию микроструктур и микроскопии является пространственное разрешение, которое ограничивается дифракцией света на выходной апертуре оптической системы. В соответствии с критерием Релея дифракционный предел разрешающей способности оптической системы будет выражен как </w:t>
      </w:r>
    </w:p>
    <w:p w:rsidR="00F96DBD" w:rsidRDefault="00F96DBD" w:rsidP="00F96DBD">
      <w:pPr>
        <w:jc w:val="both"/>
      </w:pPr>
      <w:r>
        <w:t xml:space="preserve"> </w:t>
      </w:r>
    </w:p>
    <w:p w:rsidR="00F96DBD" w:rsidRDefault="00F96DBD" w:rsidP="00F96DBD">
      <w:pPr>
        <w:jc w:val="center"/>
      </w:pPr>
      <w:r w:rsidRPr="00BB0F63">
        <w:fldChar w:fldCharType="begin"/>
      </w:r>
      <w:r w:rsidRPr="00BB0F63">
        <w:instrText xml:space="preserve"> QUOTE </w:instrText>
      </w:r>
      <w:r w:rsidRPr="00BB0F63">
        <w:rPr>
          <w:noProof/>
        </w:rPr>
        <w:drawing>
          <wp:inline distT="0" distB="0" distL="0" distR="0">
            <wp:extent cx="485775" cy="314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63">
        <w:fldChar w:fldCharType="separate"/>
      </w:r>
      <w:r w:rsidRPr="00BB0F63">
        <w:rPr>
          <w:noProof/>
        </w:rPr>
        <w:drawing>
          <wp:inline distT="0" distB="0" distL="0" distR="0">
            <wp:extent cx="485775" cy="3143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63">
        <w:fldChar w:fldCharType="end"/>
      </w:r>
    </w:p>
    <w:p w:rsidR="00F96DBD" w:rsidRPr="00BB0F63" w:rsidRDefault="00F96DBD" w:rsidP="00F96DBD">
      <w:pPr>
        <w:jc w:val="both"/>
      </w:pPr>
      <w:r w:rsidRPr="00BB0F63">
        <w:t xml:space="preserve">где </w:t>
      </w:r>
      <w:r>
        <w:rPr>
          <w:noProof/>
        </w:rPr>
        <w:t>λ</w:t>
      </w:r>
      <w:r w:rsidRPr="00BB0F63">
        <w:fldChar w:fldCharType="begin"/>
      </w:r>
      <w:r w:rsidRPr="00BB0F63">
        <w:instrText xml:space="preserve"> QUOTE </w:instrText>
      </w:r>
      <w:r w:rsidRPr="00BB0F63">
        <w:rPr>
          <w:noProof/>
        </w:rPr>
        <w:drawing>
          <wp:inline distT="0" distB="0" distL="0" distR="0">
            <wp:extent cx="1333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63">
        <w:fldChar w:fldCharType="end"/>
      </w:r>
      <w:r w:rsidRPr="00BB0F63">
        <w:t xml:space="preserve"> </w:t>
      </w:r>
      <w:r>
        <w:t>—</w:t>
      </w:r>
      <w:r w:rsidRPr="00BB0F63">
        <w:t xml:space="preserve"> длина волны, </w:t>
      </w:r>
      <w:r w:rsidRPr="00BB0F63">
        <w:rPr>
          <w:lang w:val="en-US"/>
        </w:rPr>
        <w:t>NA</w:t>
      </w:r>
      <w:r>
        <w:t xml:space="preserve"> — числовая апертура</w:t>
      </w:r>
      <w:r w:rsidRPr="00BB0F63">
        <w:t xml:space="preserve">, </w:t>
      </w:r>
      <w:r w:rsidRPr="00BB0F63">
        <w:rPr>
          <w:lang w:val="en-US"/>
        </w:rPr>
        <w:t>k</w:t>
      </w:r>
      <w:r w:rsidRPr="00BB0F63">
        <w:t xml:space="preserve"> </w:t>
      </w:r>
      <w:r>
        <w:t>—</w:t>
      </w:r>
      <w:r w:rsidRPr="00BB0F63">
        <w:t xml:space="preserve"> коэффициент пропорциональности, определяющийся когерентными свойствами света и способами освещения объекта. </w:t>
      </w:r>
    </w:p>
    <w:p w:rsidR="00F96DBD" w:rsidRDefault="00F96DBD" w:rsidP="00F96DBD">
      <w:pPr>
        <w:ind w:firstLine="284"/>
        <w:jc w:val="both"/>
      </w:pPr>
      <w:r w:rsidRPr="00BB0F63">
        <w:t xml:space="preserve">В современных литографических установках используется в качестве источника облучения фоторезиста </w:t>
      </w:r>
      <w:r w:rsidRPr="00BB0F63">
        <w:rPr>
          <w:lang w:val="en-US"/>
        </w:rPr>
        <w:t>ArF</w:t>
      </w:r>
      <w:r w:rsidRPr="00BB0F63">
        <w:t xml:space="preserve"> ультрафиолетовый лазер, работающий на длине волны 193 нм, что даёт разрешение порядка 100 нм. Однако благодаря методам улучш</w:t>
      </w:r>
      <w:r>
        <w:t xml:space="preserve">ения разрешающей способности </w:t>
      </w:r>
      <w:r w:rsidRPr="00BB0F63">
        <w:t xml:space="preserve">удалось уменьшить разрешение до 16 нм. </w:t>
      </w:r>
    </w:p>
    <w:p w:rsidR="00F96DBD" w:rsidRPr="00BB0F63" w:rsidRDefault="00F96DBD" w:rsidP="00F96DBD">
      <w:pPr>
        <w:ind w:firstLine="284"/>
        <w:jc w:val="both"/>
      </w:pPr>
      <w:r w:rsidRPr="00BB0F63">
        <w:t>Практически пятикратное преодоление дифракционного предела разрешающей способности связано с усложнением, а, следовательно, и удорожанием оборудования и технологии производства чипов. Вместо простейшей процедуры формирования топологии, включающей нанесение фоторезиста на пластину, экспонирования и проявления, появляются десятки новых операций</w:t>
      </w:r>
    </w:p>
    <w:p w:rsidR="00F96DBD" w:rsidRDefault="00F96DBD" w:rsidP="00F96DBD">
      <w:pPr>
        <w:pStyle w:val="Zv-bodyreport"/>
      </w:pPr>
      <w:r w:rsidRPr="00BB0F63">
        <w:t>В настоящее время проекционная нанолитография экстремального ультрафиолетового (ЭУФ) диапазона на длине волны 13</w:t>
      </w:r>
      <w:r>
        <w:t>,</w:t>
      </w:r>
      <w:r w:rsidRPr="00BB0F63">
        <w:t xml:space="preserve">5 нм считается наиболее перспективной для создания современных интегральных полупроводниковых схем. Выбор этого диапазона связан с тем, что меньшая в 14 раз длина волны сдвигает дифракционный предел разрешающей способности в несколько раз. Во-вторых, на эту длину волны существуют  интерференционные </w:t>
      </w:r>
      <w:r w:rsidRPr="00BB0F63">
        <w:rPr>
          <w:lang w:val="en-US"/>
        </w:rPr>
        <w:t>Mo</w:t>
      </w:r>
      <w:r w:rsidRPr="00BB0F63">
        <w:t>/</w:t>
      </w:r>
      <w:r w:rsidRPr="00BB0F63">
        <w:rPr>
          <w:lang w:val="en-US"/>
        </w:rPr>
        <w:t>Si</w:t>
      </w:r>
      <w:r w:rsidRPr="00BB0F63">
        <w:t xml:space="preserve"> многослойные зеркала с теоретическим к</w:t>
      </w:r>
      <w:r>
        <w:t>оэффициентом отражения около 75</w:t>
      </w:r>
      <w:r w:rsidRPr="00BB0F63">
        <w:t>% и практическим</w:t>
      </w:r>
      <w:r>
        <w:t xml:space="preserve"> на уровне 70</w:t>
      </w:r>
      <w:r w:rsidRPr="00BB0F63">
        <w:t xml:space="preserve">%. </w:t>
      </w:r>
    </w:p>
    <w:p w:rsidR="00F96DBD" w:rsidRPr="00C96D88" w:rsidRDefault="00F96DBD" w:rsidP="00F96DBD">
      <w:pPr>
        <w:pStyle w:val="Zv-bodyreport"/>
      </w:pPr>
      <w:r>
        <w:t xml:space="preserve">В данной работе приводятся результаты теоретического и экспериментального исследования разряда в неоднородных потоках тяжёлых газов </w:t>
      </w:r>
      <w:r w:rsidRPr="00AF49E6">
        <w:t>(</w:t>
      </w:r>
      <w:r>
        <w:rPr>
          <w:lang w:val="en-US"/>
        </w:rPr>
        <w:t>Ar</w:t>
      </w:r>
      <w:r w:rsidRPr="00AF49E6">
        <w:t xml:space="preserve">, </w:t>
      </w:r>
      <w:r>
        <w:rPr>
          <w:lang w:val="en-US"/>
        </w:rPr>
        <w:t>Kr</w:t>
      </w:r>
      <w:r w:rsidRPr="00AF49E6">
        <w:t xml:space="preserve">, </w:t>
      </w:r>
      <w:r>
        <w:rPr>
          <w:lang w:val="en-US"/>
        </w:rPr>
        <w:t>Xe</w:t>
      </w:r>
      <w:r>
        <w:t>), инициированного ТГц излучением. Рассчитаны кривые пробоя, а так же профили давления газа в потоке. Измерена мощность излучения в диапазоне 13,5 нм.</w:t>
      </w:r>
      <w:bookmarkStart w:id="3" w:name="_GoBack"/>
      <w:bookmarkEnd w:id="3"/>
      <w:r>
        <w:t xml:space="preserve"> </w:t>
      </w:r>
    </w:p>
    <w:p w:rsidR="00F96DBD" w:rsidRDefault="00F96DBD" w:rsidP="00F96DBD">
      <w:pPr>
        <w:pStyle w:val="Zv-TitleReferences-ru"/>
      </w:pPr>
      <w:r>
        <w:t>Литература</w:t>
      </w:r>
    </w:p>
    <w:p w:rsidR="00F96DBD" w:rsidRPr="00F96DBD" w:rsidRDefault="00F96DBD" w:rsidP="00F96DBD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0735AF">
        <w:rPr>
          <w:szCs w:val="24"/>
          <w:shd w:val="clear" w:color="auto" w:fill="FFFFFF"/>
          <w:lang w:val="en-US"/>
        </w:rPr>
        <w:t xml:space="preserve">M. Glyavin, S.V. Golubev, I.V. Izotov, A.G. Litvak, A.G. Luchinin, S.V. Razin, A.V. Sidorov, V.A. Skalyga, and A.V. Vodopyanov, “A point-like source of extreme ultraviolet radiation based on a discharge in a non-uniform gas flow, sustained by powerful gyrotron radiation of terahertz frequency band,” Appl. </w:t>
      </w:r>
      <w:r w:rsidRPr="00F96DBD">
        <w:rPr>
          <w:szCs w:val="24"/>
          <w:shd w:val="clear" w:color="auto" w:fill="FFFFFF"/>
          <w:lang w:val="en-US"/>
        </w:rPr>
        <w:t>Phys. Lett., vol. 105, no. 17, 2014.</w:t>
      </w:r>
    </w:p>
    <w:p w:rsidR="00F96DBD" w:rsidRPr="000735AF" w:rsidRDefault="00F96DBD" w:rsidP="00F96DBD">
      <w:pPr>
        <w:pStyle w:val="Zv-References-ru"/>
        <w:numPr>
          <w:ilvl w:val="0"/>
          <w:numId w:val="1"/>
        </w:numPr>
        <w:rPr>
          <w:szCs w:val="24"/>
          <w:shd w:val="clear" w:color="auto" w:fill="FFFFFF"/>
          <w:lang w:val="en-US"/>
        </w:rPr>
      </w:pPr>
      <w:r w:rsidRPr="000735AF">
        <w:rPr>
          <w:szCs w:val="24"/>
          <w:shd w:val="clear" w:color="auto" w:fill="FFFFFF"/>
          <w:lang w:val="en-US"/>
        </w:rPr>
        <w:t>Measurement of plasma density in the discharge maintained in a nonuniform gas flow by a high-power terahertz-wave gyrotron AV Sidorov, SV Razin, SV Golubev, MI Safronova, AP Fokin, AG Luchinin, Physics of Plasmas (1994-present) 23 (4), 043511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8A" w:rsidRDefault="0067078A">
      <w:r>
        <w:separator/>
      </w:r>
    </w:p>
  </w:endnote>
  <w:endnote w:type="continuationSeparator" w:id="0">
    <w:p w:rsidR="0067078A" w:rsidRDefault="0067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DB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8A" w:rsidRDefault="0067078A">
      <w:r>
        <w:separator/>
      </w:r>
    </w:p>
  </w:footnote>
  <w:footnote w:type="continuationSeparator" w:id="0">
    <w:p w:rsidR="0067078A" w:rsidRDefault="00670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C208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078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078A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96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DB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96D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mitrisidoroff@rambler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разряда, инициированного тгц излучением в неоднородном потоке газа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2017-01-15T12:23:00Z</dcterms:created>
  <dcterms:modified xsi:type="dcterms:W3CDTF">2017-01-15T12:25:00Z</dcterms:modified>
</cp:coreProperties>
</file>