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4C" w:rsidRPr="00AF0AC6" w:rsidRDefault="0083074C" w:rsidP="0083074C">
      <w:pPr>
        <w:pStyle w:val="Zv-Titlereport"/>
      </w:pPr>
      <w:bookmarkStart w:id="0" w:name="_Hlk466989872"/>
      <w:bookmarkStart w:id="1" w:name="OLE_LINK19"/>
      <w:bookmarkStart w:id="2" w:name="OLE_LINK20"/>
      <w:r w:rsidRPr="00674874">
        <w:t>удержани</w:t>
      </w:r>
      <w:r>
        <w:t>е</w:t>
      </w:r>
      <w:r w:rsidRPr="00674874">
        <w:t xml:space="preserve"> макрочастиц вертикальным дрейфом ионов</w:t>
      </w:r>
      <w:bookmarkEnd w:id="1"/>
      <w:bookmarkEnd w:id="2"/>
    </w:p>
    <w:p w:rsidR="0083074C" w:rsidRPr="00087472" w:rsidRDefault="0083074C" w:rsidP="0083074C">
      <w:pPr>
        <w:pStyle w:val="Zv-Author"/>
      </w:pPr>
      <w:r>
        <w:t>Недоспасов</w:t>
      </w:r>
      <w:r w:rsidRPr="00CB3547">
        <w:t xml:space="preserve"> </w:t>
      </w:r>
      <w:r>
        <w:t>А.В.</w:t>
      </w:r>
    </w:p>
    <w:p w:rsidR="0083074C" w:rsidRPr="00087472" w:rsidRDefault="0083074C" w:rsidP="0083074C">
      <w:pPr>
        <w:pStyle w:val="Zv-Organization"/>
      </w:pPr>
      <w:bookmarkStart w:id="3" w:name="_Hlk466912501"/>
      <w:r w:rsidRPr="002F20E6">
        <w:rPr>
          <w:szCs w:val="24"/>
        </w:rPr>
        <w:t>Объединенный институт высоких температур РАН, г. Москва, Россия</w:t>
      </w:r>
      <w:bookmarkEnd w:id="3"/>
      <w:r>
        <w:t>,</w:t>
      </w:r>
      <w:r w:rsidRPr="001808D8">
        <w:br/>
        <w:t xml:space="preserve">    </w:t>
      </w:r>
      <w:r w:rsidRPr="0053652F">
        <w:t xml:space="preserve"> </w:t>
      </w:r>
      <w:hyperlink r:id="rId7" w:history="1">
        <w:r w:rsidRPr="00D01750">
          <w:rPr>
            <w:rStyle w:val="a8"/>
            <w:lang w:val="fr-FR"/>
          </w:rPr>
          <w:t>a</w:t>
        </w:r>
        <w:r w:rsidRPr="0053652F">
          <w:rPr>
            <w:rStyle w:val="a8"/>
          </w:rPr>
          <w:t>-</w:t>
        </w:r>
        <w:r w:rsidRPr="00D01750">
          <w:rPr>
            <w:rStyle w:val="a8"/>
            <w:lang w:val="fr-FR"/>
          </w:rPr>
          <w:t>nedospasov</w:t>
        </w:r>
        <w:r w:rsidRPr="0053652F">
          <w:rPr>
            <w:rStyle w:val="a8"/>
          </w:rPr>
          <w:t>@</w:t>
        </w:r>
        <w:r w:rsidRPr="00D01750">
          <w:rPr>
            <w:rStyle w:val="a8"/>
            <w:lang w:val="fr-FR"/>
          </w:rPr>
          <w:t>yandex</w:t>
        </w:r>
        <w:r w:rsidRPr="0053652F">
          <w:rPr>
            <w:rStyle w:val="a8"/>
          </w:rPr>
          <w:t>.</w:t>
        </w:r>
        <w:r w:rsidRPr="00D01750">
          <w:rPr>
            <w:rStyle w:val="a8"/>
            <w:lang w:val="fr-FR"/>
          </w:rPr>
          <w:t>ru</w:t>
        </w:r>
      </w:hyperlink>
    </w:p>
    <w:bookmarkEnd w:id="0"/>
    <w:p w:rsidR="0083074C" w:rsidRPr="00087472" w:rsidRDefault="0083074C" w:rsidP="0083074C">
      <w:pPr>
        <w:pStyle w:val="Zv-bodyreport"/>
      </w:pPr>
      <w:r w:rsidRPr="0053652F">
        <w:t>В экспериментах с пылевой плазмой макрочастицы обычно удерживаются от падения областями с увеличенным градиентом электрического потенциала в стратах, при этом электрический ток в разряде направлен вниз от анода к катоду</w:t>
      </w:r>
      <w:r>
        <w:t xml:space="preserve"> </w:t>
      </w:r>
      <w:r w:rsidRPr="009C6B6C">
        <w:t>[1</w:t>
      </w:r>
      <w:r>
        <w:t> – </w:t>
      </w:r>
      <w:r w:rsidRPr="009C6B6C">
        <w:t>5]</w:t>
      </w:r>
      <w:r w:rsidRPr="0053652F">
        <w:t>. Потоки ионов действуют на находящиеся в плазме макрочастицы силами ионного увлечения. Предлагается использовать эти силы для удержания плазменно-пылевых структур при дрейфе ионов в вертикальном направлении в электрическом поле разряда. Обсуждаются разряды в инертных газах при низком давлении и постоянном токе.</w:t>
      </w:r>
    </w:p>
    <w:p w:rsidR="0083074C" w:rsidRPr="00087472" w:rsidRDefault="0083074C" w:rsidP="0083074C">
      <w:pPr>
        <w:pStyle w:val="Zv-bodyreport"/>
      </w:pPr>
      <w:r w:rsidRPr="0053652F">
        <w:t xml:space="preserve">Силы ионного увлечения зависят от отношение скорости дрейфа ионов к их тепловой скорости </w:t>
      </w:r>
      <w:r w:rsidRPr="005941B9">
        <w:rPr>
          <w:position w:val="-12"/>
        </w:rPr>
        <w:object w:dxaOrig="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pt" o:ole="">
            <v:imagedata r:id="rId8" o:title=""/>
          </v:shape>
          <o:OLEObject Type="Embed" ProgID="Equation.3" ShapeID="_x0000_i1025" DrawAspect="Content" ObjectID="_1545060734" r:id="rId9"/>
        </w:object>
      </w:r>
      <w:r w:rsidRPr="0053652F">
        <w:t xml:space="preserve">, и при </w:t>
      </w:r>
      <w:r w:rsidRPr="005941B9">
        <w:rPr>
          <w:position w:val="-12"/>
        </w:rPr>
        <w:object w:dxaOrig="859" w:dyaOrig="360">
          <v:shape id="_x0000_i1026" type="#_x0000_t75" style="width:42.75pt;height:18pt" o:ole="">
            <v:imagedata r:id="rId10" o:title=""/>
          </v:shape>
          <o:OLEObject Type="Embed" ProgID="Equation.3" ShapeID="_x0000_i1026" DrawAspect="Content" ObjectID="_1545060735" r:id="rId11"/>
        </w:object>
      </w:r>
      <w:r w:rsidRPr="0053652F">
        <w:t xml:space="preserve"> справедлива формула</w:t>
      </w:r>
    </w:p>
    <w:p w:rsidR="0083074C" w:rsidRPr="00087472" w:rsidRDefault="0083074C" w:rsidP="0083074C">
      <w:pPr>
        <w:pStyle w:val="Zv-formula"/>
      </w:pPr>
      <w:r>
        <w:tab/>
      </w:r>
      <w:r w:rsidRPr="005941B9">
        <w:rPr>
          <w:position w:val="-12"/>
        </w:rPr>
        <w:object w:dxaOrig="1500" w:dyaOrig="380">
          <v:shape id="_x0000_i1027" type="#_x0000_t75" style="width:75pt;height:18.75pt" o:ole="">
            <v:imagedata r:id="rId12" o:title=""/>
          </v:shape>
          <o:OLEObject Type="Embed" ProgID="Equation.3" ShapeID="_x0000_i1027" DrawAspect="Content" ObjectID="_1545060736" r:id="rId13"/>
        </w:object>
      </w:r>
      <w:r w:rsidRPr="00526BB6">
        <w:t>,</w:t>
      </w:r>
    </w:p>
    <w:p w:rsidR="0083074C" w:rsidRPr="00087472" w:rsidRDefault="0083074C" w:rsidP="0083074C">
      <w:pPr>
        <w:pStyle w:val="Zv-bodyreportcont"/>
      </w:pPr>
      <w:r w:rsidRPr="009C6B6C">
        <w:t xml:space="preserve">где </w:t>
      </w:r>
      <w:r w:rsidRPr="00134ECC">
        <w:rPr>
          <w:position w:val="-12"/>
        </w:rPr>
        <w:object w:dxaOrig="300" w:dyaOrig="360">
          <v:shape id="_x0000_i1028" type="#_x0000_t75" style="width:13.5pt;height:17.25pt" o:ole="">
            <v:imagedata r:id="rId14" o:title=""/>
          </v:shape>
          <o:OLEObject Type="Embed" ProgID="Equation.3" ShapeID="_x0000_i1028" DrawAspect="Content" ObjectID="_1545060737" r:id="rId15"/>
        </w:object>
      </w:r>
      <w:r>
        <w:t xml:space="preserve"> </w:t>
      </w:r>
      <w:r w:rsidRPr="00CB3547">
        <w:t>—</w:t>
      </w:r>
      <w:r w:rsidRPr="009C6B6C">
        <w:t xml:space="preserve"> масса ионов, </w:t>
      </w:r>
      <w:r w:rsidRPr="00B604BF">
        <w:rPr>
          <w:position w:val="-12"/>
        </w:rPr>
        <w:object w:dxaOrig="240" w:dyaOrig="360">
          <v:shape id="_x0000_i1029" type="#_x0000_t75" style="width:12pt;height:18pt" o:ole="">
            <v:imagedata r:id="rId16" o:title=""/>
          </v:shape>
          <o:OLEObject Type="Embed" ProgID="Equation.3" ShapeID="_x0000_i1029" DrawAspect="Content" ObjectID="_1545060738" r:id="rId17"/>
        </w:object>
      </w:r>
      <w:r w:rsidRPr="009C6B6C">
        <w:t xml:space="preserve"> </w:t>
      </w:r>
      <w:r w:rsidRPr="00CB3547">
        <w:t>—</w:t>
      </w:r>
      <w:r w:rsidRPr="009C6B6C">
        <w:t xml:space="preserve"> концентрация ионов,</w:t>
      </w:r>
      <w:r w:rsidRPr="005941B9">
        <w:rPr>
          <w:position w:val="-12"/>
        </w:rPr>
        <w:object w:dxaOrig="220" w:dyaOrig="360">
          <v:shape id="_x0000_i1030" type="#_x0000_t75" style="width:11.25pt;height:18pt" o:ole="">
            <v:imagedata r:id="rId18" o:title=""/>
          </v:shape>
          <o:OLEObject Type="Embed" ProgID="Equation.3" ShapeID="_x0000_i1030" DrawAspect="Content" ObjectID="_1545060739" r:id="rId19"/>
        </w:object>
      </w:r>
      <w:r w:rsidRPr="009C6B6C">
        <w:t xml:space="preserve"> </w:t>
      </w:r>
      <w:r w:rsidRPr="00CB3547">
        <w:t>—</w:t>
      </w:r>
      <w:r w:rsidRPr="009C6B6C">
        <w:t xml:space="preserve"> радиус макрочастицы [2,</w:t>
      </w:r>
      <w:r w:rsidRPr="00CB3547">
        <w:t xml:space="preserve"> </w:t>
      </w:r>
      <w:r w:rsidRPr="009C6B6C">
        <w:t>3]. В вертикальной газоразрядной трубке при направленном вверх дрейфе ионов макрочастицы будут удерживаться от падения при условии</w:t>
      </w:r>
    </w:p>
    <w:p w:rsidR="0083074C" w:rsidRPr="00087472" w:rsidRDefault="0083074C" w:rsidP="0083074C">
      <w:pPr>
        <w:pStyle w:val="Zv-formula"/>
      </w:pPr>
      <w:r>
        <w:tab/>
      </w:r>
      <w:r w:rsidRPr="005941B9">
        <w:rPr>
          <w:position w:val="-24"/>
        </w:rPr>
        <w:object w:dxaOrig="1320" w:dyaOrig="620">
          <v:shape id="_x0000_i1031" type="#_x0000_t75" style="width:66pt;height:30.75pt" o:ole="">
            <v:imagedata r:id="rId20" o:title=""/>
          </v:shape>
          <o:OLEObject Type="Embed" ProgID="Equation.3" ShapeID="_x0000_i1031" DrawAspect="Content" ObjectID="_1545060740" r:id="rId21"/>
        </w:object>
      </w:r>
      <w:r w:rsidRPr="00526BB6">
        <w:t>,</w:t>
      </w:r>
    </w:p>
    <w:p w:rsidR="0083074C" w:rsidRDefault="0083074C" w:rsidP="0083074C">
      <w:pPr>
        <w:pStyle w:val="Zv-bodyreportcont"/>
      </w:pPr>
      <w:r w:rsidRPr="00526BB6">
        <w:t xml:space="preserve">здесь </w:t>
      </w:r>
      <w:r w:rsidRPr="005941B9">
        <w:rPr>
          <w:position w:val="-10"/>
        </w:rPr>
        <w:object w:dxaOrig="240" w:dyaOrig="260">
          <v:shape id="_x0000_i1032" type="#_x0000_t75" style="width:12pt;height:12.75pt" o:ole="">
            <v:imagedata r:id="rId22" o:title=""/>
          </v:shape>
          <o:OLEObject Type="Embed" ProgID="Equation.3" ShapeID="_x0000_i1032" DrawAspect="Content" ObjectID="_1545060741" r:id="rId23"/>
        </w:object>
      </w:r>
      <w:r w:rsidRPr="00CB3547">
        <w:t>—</w:t>
      </w:r>
      <w:r w:rsidRPr="00526BB6">
        <w:t xml:space="preserve"> плотность материала макрочастицы, </w:t>
      </w:r>
      <w:r w:rsidRPr="005941B9">
        <w:rPr>
          <w:position w:val="-6"/>
        </w:rPr>
        <w:object w:dxaOrig="260" w:dyaOrig="279">
          <v:shape id="_x0000_i1033" type="#_x0000_t75" style="width:12.75pt;height:14.25pt" o:ole="">
            <v:imagedata r:id="rId24" o:title=""/>
          </v:shape>
          <o:OLEObject Type="Embed" ProgID="Equation.3" ShapeID="_x0000_i1033" DrawAspect="Content" ObjectID="_1545060742" r:id="rId25"/>
        </w:object>
      </w:r>
      <w:r>
        <w:t xml:space="preserve"> </w:t>
      </w:r>
      <w:r w:rsidRPr="00CB3547">
        <w:t>—</w:t>
      </w:r>
      <w:r w:rsidRPr="00526BB6">
        <w:t xml:space="preserve"> ускорение свободного падения.</w:t>
      </w:r>
    </w:p>
    <w:p w:rsidR="0083074C" w:rsidRPr="00087472" w:rsidRDefault="0083074C" w:rsidP="0083074C">
      <w:pPr>
        <w:pStyle w:val="Zv-bodyreport"/>
      </w:pPr>
      <w:r w:rsidRPr="00526BB6">
        <w:t xml:space="preserve">Для однозарядных ионов радиус удерживаемой частицы пропорционален силе разрядного тока </w:t>
      </w:r>
      <w:r w:rsidRPr="005941B9">
        <w:rPr>
          <w:position w:val="-4"/>
        </w:rPr>
        <w:object w:dxaOrig="200" w:dyaOrig="260">
          <v:shape id="_x0000_i1034" type="#_x0000_t75" style="width:9.75pt;height:12.75pt" o:ole="">
            <v:imagedata r:id="rId26" o:title=""/>
          </v:shape>
          <o:OLEObject Type="Embed" ProgID="Equation.3" ShapeID="_x0000_i1034" DrawAspect="Content" ObjectID="_1545060743" r:id="rId27"/>
        </w:object>
      </w:r>
    </w:p>
    <w:p w:rsidR="0083074C" w:rsidRPr="00087472" w:rsidRDefault="0083074C" w:rsidP="0083074C">
      <w:pPr>
        <w:pStyle w:val="Zv-formula"/>
      </w:pPr>
      <w:r w:rsidRPr="00E408D5">
        <w:tab/>
      </w:r>
      <w:r w:rsidRPr="005941B9">
        <w:rPr>
          <w:position w:val="-30"/>
        </w:rPr>
        <w:object w:dxaOrig="2460" w:dyaOrig="760">
          <v:shape id="_x0000_i1035" type="#_x0000_t75" style="width:123pt;height:38.25pt" o:ole="">
            <v:imagedata r:id="rId28" o:title=""/>
          </v:shape>
          <o:OLEObject Type="Embed" ProgID="Equation.3" ShapeID="_x0000_i1035" DrawAspect="Content" ObjectID="_1545060744" r:id="rId29"/>
        </w:object>
      </w:r>
      <w:r>
        <w:t>.</w:t>
      </w:r>
    </w:p>
    <w:p w:rsidR="0083074C" w:rsidRPr="00087472" w:rsidRDefault="0083074C" w:rsidP="0083074C">
      <w:pPr>
        <w:pStyle w:val="Zv-bodyreportcont"/>
      </w:pPr>
      <w:r w:rsidRPr="00526BB6">
        <w:t xml:space="preserve">Здесь </w:t>
      </w:r>
      <w:r w:rsidRPr="00612427">
        <w:rPr>
          <w:position w:val="-12"/>
        </w:rPr>
        <w:object w:dxaOrig="260" w:dyaOrig="360">
          <v:shape id="_x0000_i1036" type="#_x0000_t75" style="width:12pt;height:17.25pt" o:ole="">
            <v:imagedata r:id="rId30" o:title=""/>
          </v:shape>
          <o:OLEObject Type="Embed" ProgID="Equation.3" ShapeID="_x0000_i1036" DrawAspect="Content" ObjectID="_1545060745" r:id="rId31"/>
        </w:object>
      </w:r>
      <w:r>
        <w:t xml:space="preserve"> </w:t>
      </w:r>
      <w:r w:rsidRPr="00CB3547">
        <w:t>—</w:t>
      </w:r>
      <w:r w:rsidRPr="00526BB6">
        <w:t xml:space="preserve"> подвижность электронов, </w:t>
      </w:r>
      <w:r w:rsidRPr="00B94290">
        <w:rPr>
          <w:position w:val="-4"/>
        </w:rPr>
        <w:object w:dxaOrig="240" w:dyaOrig="260">
          <v:shape id="_x0000_i1037" type="#_x0000_t75" style="width:12pt;height:12.75pt" o:ole="">
            <v:imagedata r:id="rId32" o:title=""/>
          </v:shape>
          <o:OLEObject Type="Embed" ProgID="Equation.3" ShapeID="_x0000_i1037" DrawAspect="Content" ObjectID="_1545060746" r:id="rId33"/>
        </w:object>
      </w:r>
      <w:r>
        <w:t xml:space="preserve"> </w:t>
      </w:r>
      <w:r w:rsidRPr="00CB3547">
        <w:t>—</w:t>
      </w:r>
      <w:r w:rsidRPr="00526BB6">
        <w:t xml:space="preserve"> напряженность  электрического поля, </w:t>
      </w:r>
      <w:r w:rsidRPr="009D483B">
        <w:rPr>
          <w:position w:val="-12"/>
        </w:rPr>
        <w:object w:dxaOrig="260" w:dyaOrig="360">
          <v:shape id="_x0000_i1038" type="#_x0000_t75" style="width:12pt;height:17.25pt" o:ole="">
            <v:imagedata r:id="rId34" o:title=""/>
          </v:shape>
          <o:OLEObject Type="Embed" ProgID="Equation.3" ShapeID="_x0000_i1038" DrawAspect="Content" ObjectID="_1545060747" r:id="rId35"/>
        </w:object>
      </w:r>
      <w:r w:rsidRPr="00526BB6">
        <w:t xml:space="preserve"> </w:t>
      </w:r>
      <w:r w:rsidRPr="00CB3547">
        <w:t>—</w:t>
      </w:r>
      <w:r w:rsidRPr="00526BB6">
        <w:t xml:space="preserve"> длина свободного пробега ионов, </w:t>
      </w:r>
      <w:r w:rsidRPr="00E61A09">
        <w:rPr>
          <w:position w:val="-6"/>
        </w:rPr>
        <w:object w:dxaOrig="200" w:dyaOrig="220">
          <v:shape id="_x0000_i1039" type="#_x0000_t75" style="width:9pt;height:10.5pt" o:ole="">
            <v:imagedata r:id="rId36" o:title=""/>
          </v:shape>
          <o:OLEObject Type="Embed" ProgID="Equation.3" ShapeID="_x0000_i1039" DrawAspect="Content" ObjectID="_1545060748" r:id="rId37"/>
        </w:object>
      </w:r>
      <w:r w:rsidRPr="00CB3547">
        <w:t>—</w:t>
      </w:r>
      <w:r w:rsidRPr="00526BB6">
        <w:t xml:space="preserve"> радиус разрядной трубки, </w:t>
      </w:r>
      <w:r w:rsidRPr="009C655F">
        <w:rPr>
          <w:position w:val="-12"/>
        </w:rPr>
        <w:object w:dxaOrig="240" w:dyaOrig="360">
          <v:shape id="_x0000_i1040" type="#_x0000_t75" style="width:11.25pt;height:17.25pt" o:ole="">
            <v:imagedata r:id="rId38" o:title=""/>
          </v:shape>
          <o:OLEObject Type="Embed" ProgID="Equation.3" ShapeID="_x0000_i1040" DrawAspect="Content" ObjectID="_1545060749" r:id="rId39"/>
        </w:object>
      </w:r>
      <w:r>
        <w:t xml:space="preserve"> </w:t>
      </w:r>
      <w:r w:rsidRPr="00CB3547">
        <w:t>—</w:t>
      </w:r>
      <w:r w:rsidRPr="00526BB6">
        <w:t xml:space="preserve"> температура ионов.</w:t>
      </w:r>
    </w:p>
    <w:p w:rsidR="0083074C" w:rsidRPr="00087472" w:rsidRDefault="0083074C" w:rsidP="0083074C">
      <w:pPr>
        <w:pStyle w:val="Zv-bodyreport"/>
      </w:pPr>
      <w:r w:rsidRPr="00526BB6">
        <w:t>Предложенным способом можно удерживать макрочастицы с различной плотностью и размерами, что открывает возможность для экспериментального изучения сил ионного увлечения и уточнения существующих теоретических моделей.</w:t>
      </w:r>
    </w:p>
    <w:p w:rsidR="0083074C" w:rsidRDefault="0083074C" w:rsidP="0083074C">
      <w:pPr>
        <w:pStyle w:val="Zv-TitleReferences-ru"/>
      </w:pPr>
      <w:r>
        <w:t>Литература</w:t>
      </w:r>
    </w:p>
    <w:p w:rsidR="0083074C" w:rsidRDefault="0083074C" w:rsidP="0083074C">
      <w:pPr>
        <w:pStyle w:val="Zv-References-ru"/>
        <w:numPr>
          <w:ilvl w:val="0"/>
          <w:numId w:val="1"/>
        </w:numPr>
      </w:pPr>
      <w:r w:rsidRPr="003339AA">
        <w:rPr>
          <w:lang w:val="en-US"/>
        </w:rPr>
        <w:t xml:space="preserve">Fortov V. E., Khrapak A. F., Khrapak S. A., Molotkov V. L. and Petrov O. F., </w:t>
      </w:r>
      <w:r w:rsidRPr="00087472">
        <w:rPr>
          <w:lang w:val="en-US"/>
        </w:rPr>
        <w:t xml:space="preserve">Usp. Fiz. </w:t>
      </w:r>
      <w:r w:rsidRPr="00087472">
        <w:rPr>
          <w:lang w:val="fr-FR"/>
        </w:rPr>
        <w:t>Nauk,</w:t>
      </w:r>
      <w:r w:rsidRPr="009459F4">
        <w:rPr>
          <w:lang w:val="fr-FR"/>
        </w:rPr>
        <w:t xml:space="preserve"> (2004) </w:t>
      </w:r>
      <w:r w:rsidRPr="009459F4">
        <w:rPr>
          <w:b/>
          <w:lang w:val="fr-FR"/>
        </w:rPr>
        <w:t>174</w:t>
      </w:r>
      <w:r>
        <w:rPr>
          <w:b/>
        </w:rPr>
        <w:t xml:space="preserve"> </w:t>
      </w:r>
      <w:r w:rsidRPr="009459F4">
        <w:rPr>
          <w:lang w:val="fr-FR"/>
        </w:rPr>
        <w:t>495 [</w:t>
      </w:r>
      <w:r w:rsidRPr="00087472">
        <w:rPr>
          <w:lang w:val="fr-FR"/>
        </w:rPr>
        <w:t>Phys. Usp</w:t>
      </w:r>
      <w:r w:rsidRPr="009459F4">
        <w:rPr>
          <w:i/>
          <w:lang w:val="fr-FR"/>
        </w:rPr>
        <w:t>.</w:t>
      </w:r>
      <w:r w:rsidRPr="009459F4">
        <w:rPr>
          <w:lang w:val="fr-FR"/>
        </w:rPr>
        <w:t xml:space="preserve">, (2004) </w:t>
      </w:r>
      <w:r w:rsidRPr="009459F4">
        <w:rPr>
          <w:b/>
          <w:lang w:val="fr-FR"/>
        </w:rPr>
        <w:t>47</w:t>
      </w:r>
      <w:r>
        <w:rPr>
          <w:b/>
          <w:lang w:val="fr-FR"/>
        </w:rPr>
        <w:t xml:space="preserve"> </w:t>
      </w:r>
      <w:r w:rsidRPr="009459F4">
        <w:rPr>
          <w:lang w:val="fr-FR"/>
        </w:rPr>
        <w:t>447].</w:t>
      </w:r>
    </w:p>
    <w:p w:rsidR="0083074C" w:rsidRPr="009135FC" w:rsidRDefault="0083074C" w:rsidP="0083074C">
      <w:pPr>
        <w:pStyle w:val="Zv-References-ru"/>
        <w:numPr>
          <w:ilvl w:val="0"/>
          <w:numId w:val="1"/>
        </w:numPr>
      </w:pPr>
      <w:r w:rsidRPr="009135FC">
        <w:rPr>
          <w:lang w:val="fr-FR"/>
        </w:rPr>
        <w:t>Nitter</w:t>
      </w:r>
      <w:r w:rsidRPr="00CB3547">
        <w:rPr>
          <w:lang w:val="fr-FR"/>
        </w:rPr>
        <w:t xml:space="preserve"> </w:t>
      </w:r>
      <w:r w:rsidRPr="009135FC">
        <w:rPr>
          <w:lang w:val="fr-FR"/>
        </w:rPr>
        <w:t>T</w:t>
      </w:r>
      <w:r w:rsidRPr="00CB3547">
        <w:rPr>
          <w:lang w:val="fr-FR"/>
        </w:rPr>
        <w:t xml:space="preserve">. </w:t>
      </w:r>
      <w:r w:rsidRPr="009459F4">
        <w:rPr>
          <w:lang w:val="fr-FR"/>
        </w:rPr>
        <w:t>Plasma</w:t>
      </w:r>
      <w:r w:rsidRPr="00CB3547">
        <w:rPr>
          <w:lang w:val="fr-FR"/>
        </w:rPr>
        <w:t xml:space="preserve"> </w:t>
      </w:r>
      <w:r w:rsidRPr="009459F4">
        <w:rPr>
          <w:lang w:val="fr-FR"/>
        </w:rPr>
        <w:t>Sources</w:t>
      </w:r>
      <w:r w:rsidRPr="00CB3547">
        <w:rPr>
          <w:lang w:val="fr-FR"/>
        </w:rPr>
        <w:t xml:space="preserve"> </w:t>
      </w:r>
      <w:r w:rsidRPr="009459F4">
        <w:rPr>
          <w:lang w:val="fr-FR"/>
        </w:rPr>
        <w:t>Sci</w:t>
      </w:r>
      <w:r w:rsidRPr="00CB3547">
        <w:rPr>
          <w:lang w:val="fr-FR"/>
        </w:rPr>
        <w:t xml:space="preserve">. </w:t>
      </w:r>
      <w:r w:rsidRPr="009459F4">
        <w:rPr>
          <w:lang w:val="fr-FR"/>
        </w:rPr>
        <w:t>Technol</w:t>
      </w:r>
      <w:r w:rsidRPr="009135FC">
        <w:t xml:space="preserve">. (1996) </w:t>
      </w:r>
      <w:r w:rsidRPr="009135FC">
        <w:rPr>
          <w:b/>
        </w:rPr>
        <w:t>5</w:t>
      </w:r>
      <w:r w:rsidRPr="009135FC">
        <w:t xml:space="preserve"> 93</w:t>
      </w:r>
    </w:p>
    <w:p w:rsidR="0083074C" w:rsidRPr="009135FC" w:rsidRDefault="0083074C" w:rsidP="0083074C">
      <w:pPr>
        <w:pStyle w:val="Zv-References-ru"/>
        <w:numPr>
          <w:ilvl w:val="0"/>
          <w:numId w:val="1"/>
        </w:numPr>
      </w:pPr>
      <w:r w:rsidRPr="00CB3547">
        <w:rPr>
          <w:lang w:val="fr-FR"/>
        </w:rPr>
        <w:t xml:space="preserve">Gorre J. et al. Phys. </w:t>
      </w:r>
      <w:r>
        <w:t>Rev</w:t>
      </w:r>
      <w:r w:rsidRPr="009135FC">
        <w:t xml:space="preserve">. (1999) </w:t>
      </w:r>
      <w:r w:rsidRPr="009135FC">
        <w:rPr>
          <w:b/>
        </w:rPr>
        <w:t>59</w:t>
      </w:r>
      <w:r w:rsidRPr="009135FC">
        <w:t xml:space="preserve"> 7055.</w:t>
      </w:r>
    </w:p>
    <w:p w:rsidR="0083074C" w:rsidRPr="009135FC" w:rsidRDefault="0083074C" w:rsidP="0083074C">
      <w:pPr>
        <w:pStyle w:val="Zv-References-ru"/>
        <w:numPr>
          <w:ilvl w:val="0"/>
          <w:numId w:val="1"/>
        </w:numPr>
      </w:pPr>
      <w:r>
        <w:t xml:space="preserve">Васильев </w:t>
      </w:r>
      <w:r w:rsidRPr="009135FC">
        <w:t>М</w:t>
      </w:r>
      <w:r>
        <w:t>.</w:t>
      </w:r>
      <w:r w:rsidRPr="009135FC">
        <w:t xml:space="preserve"> М</w:t>
      </w:r>
      <w:r>
        <w:t>.</w:t>
      </w:r>
      <w:r w:rsidRPr="009135FC">
        <w:t>, Дьячков Л</w:t>
      </w:r>
      <w:r>
        <w:t>.</w:t>
      </w:r>
      <w:r w:rsidRPr="009135FC">
        <w:t xml:space="preserve"> Г</w:t>
      </w:r>
      <w:r>
        <w:t>.</w:t>
      </w:r>
      <w:r w:rsidRPr="009135FC">
        <w:t>, Антипов С</w:t>
      </w:r>
      <w:r>
        <w:t>.</w:t>
      </w:r>
      <w:r w:rsidRPr="009135FC">
        <w:t xml:space="preserve"> Н</w:t>
      </w:r>
      <w:r>
        <w:t>.</w:t>
      </w:r>
      <w:r w:rsidRPr="009135FC">
        <w:t xml:space="preserve"> и др. </w:t>
      </w:r>
      <w:r w:rsidRPr="00087472">
        <w:t>Письма в ЖЭТФ</w:t>
      </w:r>
      <w:r w:rsidRPr="009135FC">
        <w:t xml:space="preserve"> (2007).</w:t>
      </w:r>
      <w:r w:rsidRPr="009135FC">
        <w:rPr>
          <w:b/>
        </w:rPr>
        <w:t>86</w:t>
      </w:r>
      <w:r w:rsidRPr="009135FC">
        <w:t xml:space="preserve"> 414 </w:t>
      </w:r>
    </w:p>
    <w:p w:rsidR="0083074C" w:rsidRPr="009135FC" w:rsidRDefault="0083074C" w:rsidP="0083074C">
      <w:pPr>
        <w:pStyle w:val="Zv-References-ru"/>
        <w:numPr>
          <w:ilvl w:val="0"/>
          <w:numId w:val="1"/>
        </w:numPr>
      </w:pPr>
      <w:r w:rsidRPr="003339AA">
        <w:rPr>
          <w:lang w:val="en-US"/>
        </w:rPr>
        <w:t>Karasev</w:t>
      </w:r>
      <w:r w:rsidRPr="00CB3547">
        <w:rPr>
          <w:lang w:val="en-US"/>
        </w:rPr>
        <w:t xml:space="preserve"> </w:t>
      </w:r>
      <w:r w:rsidRPr="003339AA">
        <w:rPr>
          <w:lang w:val="en-US"/>
        </w:rPr>
        <w:t>V</w:t>
      </w:r>
      <w:r w:rsidRPr="00CB3547">
        <w:rPr>
          <w:lang w:val="en-US"/>
        </w:rPr>
        <w:t xml:space="preserve">. </w:t>
      </w:r>
      <w:r w:rsidRPr="003339AA">
        <w:rPr>
          <w:lang w:val="en-US"/>
        </w:rPr>
        <w:t>Yu</w:t>
      </w:r>
      <w:r w:rsidRPr="00CB3547">
        <w:rPr>
          <w:lang w:val="en-US"/>
        </w:rPr>
        <w:t xml:space="preserve">., </w:t>
      </w:r>
      <w:r w:rsidRPr="003339AA">
        <w:rPr>
          <w:lang w:val="en-US"/>
        </w:rPr>
        <w:t>Dzlieva</w:t>
      </w:r>
      <w:r w:rsidRPr="00CB3547">
        <w:rPr>
          <w:lang w:val="en-US"/>
        </w:rPr>
        <w:t xml:space="preserve"> </w:t>
      </w:r>
      <w:r w:rsidRPr="003339AA">
        <w:rPr>
          <w:lang w:val="en-US"/>
        </w:rPr>
        <w:t>E</w:t>
      </w:r>
      <w:r w:rsidRPr="00CB3547">
        <w:rPr>
          <w:lang w:val="en-US"/>
        </w:rPr>
        <w:t xml:space="preserve">. </w:t>
      </w:r>
      <w:r w:rsidRPr="003339AA">
        <w:rPr>
          <w:lang w:val="en-US"/>
        </w:rPr>
        <w:t>S</w:t>
      </w:r>
      <w:r w:rsidRPr="00CB3547">
        <w:rPr>
          <w:lang w:val="en-US"/>
        </w:rPr>
        <w:t xml:space="preserve">., </w:t>
      </w:r>
      <w:r w:rsidRPr="003339AA">
        <w:rPr>
          <w:lang w:val="en-US"/>
        </w:rPr>
        <w:t>Ivanov</w:t>
      </w:r>
      <w:r w:rsidRPr="00CB3547">
        <w:rPr>
          <w:lang w:val="en-US"/>
        </w:rPr>
        <w:t xml:space="preserve"> </w:t>
      </w:r>
      <w:r w:rsidRPr="003339AA">
        <w:rPr>
          <w:lang w:val="en-US"/>
        </w:rPr>
        <w:t>A</w:t>
      </w:r>
      <w:r w:rsidRPr="00CB3547">
        <w:rPr>
          <w:lang w:val="en-US"/>
        </w:rPr>
        <w:t xml:space="preserve">. </w:t>
      </w:r>
      <w:r w:rsidRPr="003339AA">
        <w:rPr>
          <w:lang w:val="en-US"/>
        </w:rPr>
        <w:t>Yu</w:t>
      </w:r>
      <w:r w:rsidRPr="00CB3547">
        <w:rPr>
          <w:lang w:val="en-US"/>
        </w:rPr>
        <w:t xml:space="preserve">., </w:t>
      </w:r>
      <w:r w:rsidRPr="003339AA">
        <w:rPr>
          <w:lang w:val="en-US"/>
        </w:rPr>
        <w:t>and</w:t>
      </w:r>
      <w:r w:rsidRPr="00CB3547">
        <w:rPr>
          <w:lang w:val="en-US"/>
        </w:rPr>
        <w:t xml:space="preserve"> </w:t>
      </w:r>
      <w:r w:rsidRPr="003339AA">
        <w:rPr>
          <w:lang w:val="en-US"/>
        </w:rPr>
        <w:t>Eikhvald</w:t>
      </w:r>
      <w:r w:rsidRPr="00CB3547">
        <w:rPr>
          <w:lang w:val="en-US"/>
        </w:rPr>
        <w:t xml:space="preserve"> </w:t>
      </w:r>
      <w:r w:rsidRPr="003339AA">
        <w:rPr>
          <w:lang w:val="en-US"/>
        </w:rPr>
        <w:t>A</w:t>
      </w:r>
      <w:r w:rsidRPr="00CB3547">
        <w:rPr>
          <w:lang w:val="en-US"/>
        </w:rPr>
        <w:t xml:space="preserve">. </w:t>
      </w:r>
      <w:r w:rsidRPr="003339AA">
        <w:rPr>
          <w:lang w:val="en-US"/>
        </w:rPr>
        <w:t>I</w:t>
      </w:r>
      <w:r w:rsidRPr="00CB3547">
        <w:rPr>
          <w:lang w:val="en-US"/>
        </w:rPr>
        <w:t xml:space="preserve">., </w:t>
      </w:r>
      <w:r w:rsidRPr="00087472">
        <w:rPr>
          <w:lang w:val="en-US"/>
        </w:rPr>
        <w:t>Phys</w:t>
      </w:r>
      <w:r w:rsidRPr="00CB3547">
        <w:rPr>
          <w:lang w:val="en-US"/>
        </w:rPr>
        <w:t xml:space="preserve">. </w:t>
      </w:r>
      <w:r w:rsidRPr="00087472">
        <w:t>Rev. E,</w:t>
      </w:r>
      <w:r w:rsidRPr="005F143E">
        <w:t xml:space="preserve"> (2006) </w:t>
      </w:r>
      <w:r w:rsidRPr="005F143E">
        <w:rPr>
          <w:b/>
        </w:rPr>
        <w:t>74</w:t>
      </w:r>
      <w:r>
        <w:t xml:space="preserve"> </w:t>
      </w:r>
      <w:r w:rsidRPr="005F143E">
        <w:t>066403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40"/>
      <w:footerReference w:type="even" r:id="rId41"/>
      <w:footerReference w:type="default" r:id="rId4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10" w:rsidRDefault="00377310">
      <w:r>
        <w:separator/>
      </w:r>
    </w:p>
  </w:endnote>
  <w:endnote w:type="continuationSeparator" w:id="0">
    <w:p w:rsidR="00377310" w:rsidRDefault="0037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74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10" w:rsidRDefault="00377310">
      <w:r>
        <w:separator/>
      </w:r>
    </w:p>
  </w:footnote>
  <w:footnote w:type="continuationSeparator" w:id="0">
    <w:p w:rsidR="00377310" w:rsidRDefault="0037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731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7731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3074C"/>
    <w:rsid w:val="00930480"/>
    <w:rsid w:val="0094051A"/>
    <w:rsid w:val="00952377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30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2.xml"/><Relationship Id="rId7" Type="http://schemas.openxmlformats.org/officeDocument/2006/relationships/hyperlink" Target="mailto:a-nedospasov@yandex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удержание макрочастиц вертикальным дрейфом ионов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2017-01-04T15:40:00Z</dcterms:created>
  <dcterms:modified xsi:type="dcterms:W3CDTF">2017-01-04T15:42:00Z</dcterms:modified>
</cp:coreProperties>
</file>