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33" w:rsidRPr="0086594D" w:rsidRDefault="008B0B33" w:rsidP="008B0B33">
      <w:pPr>
        <w:pStyle w:val="Zv-Titlereport"/>
      </w:pPr>
      <w:bookmarkStart w:id="0" w:name="_Hlk466564603"/>
      <w:bookmarkStart w:id="1" w:name="OLE_LINK9"/>
      <w:bookmarkStart w:id="2" w:name="OLE_LINK10"/>
      <w:r w:rsidRPr="0086594D">
        <w:rPr>
          <w:szCs w:val="24"/>
        </w:rPr>
        <w:t>Анализ применимости спектральных методов диагностики разрядов постоянного тока по излучению триплетных состояний молекулярного водорода</w:t>
      </w:r>
      <w:bookmarkEnd w:id="1"/>
      <w:bookmarkEnd w:id="2"/>
    </w:p>
    <w:p w:rsidR="008B0B33" w:rsidRDefault="008B0B33" w:rsidP="008B0B33">
      <w:pPr>
        <w:pStyle w:val="Zv-Author"/>
      </w:pPr>
      <w:r>
        <w:t>Шахатов</w:t>
      </w:r>
      <w:r w:rsidRPr="004A0928">
        <w:t xml:space="preserve"> </w:t>
      </w:r>
      <w:r>
        <w:t>В.А., Лебедев</w:t>
      </w:r>
      <w:r w:rsidRPr="004A0928">
        <w:t xml:space="preserve"> </w:t>
      </w:r>
      <w:r>
        <w:t>Ю.А.</w:t>
      </w:r>
    </w:p>
    <w:p w:rsidR="008B0B33" w:rsidRPr="00BE2EC0" w:rsidRDefault="008B0B33" w:rsidP="008B0B33">
      <w:pPr>
        <w:pStyle w:val="Zv-Organization"/>
      </w:pPr>
      <w:r>
        <w:t>Институт</w:t>
      </w:r>
      <w:r w:rsidRPr="00087984">
        <w:t xml:space="preserve"> нефтехимического синтеза им. А</w:t>
      </w:r>
      <w:r w:rsidRPr="004A0928">
        <w:t>.</w:t>
      </w:r>
      <w:r w:rsidRPr="00087984">
        <w:t>В</w:t>
      </w:r>
      <w:r w:rsidRPr="004A0928">
        <w:t xml:space="preserve">. </w:t>
      </w:r>
      <w:r w:rsidRPr="00087984">
        <w:t>Топчиева</w:t>
      </w:r>
      <w:r w:rsidRPr="004A0928">
        <w:t xml:space="preserve"> </w:t>
      </w:r>
      <w:r w:rsidRPr="00087984">
        <w:t>РАН</w:t>
      </w:r>
      <w:r w:rsidRPr="004A0928">
        <w:t xml:space="preserve">, </w:t>
      </w:r>
      <w:r>
        <w:t>г</w:t>
      </w:r>
      <w:r w:rsidRPr="004A0928">
        <w:t xml:space="preserve">. </w:t>
      </w:r>
      <w:r>
        <w:t>Москва</w:t>
      </w:r>
      <w:r w:rsidRPr="004A0928">
        <w:t xml:space="preserve">, </w:t>
      </w:r>
      <w:r>
        <w:t>Россия</w:t>
      </w:r>
      <w:r>
        <w:rPr>
          <w:szCs w:val="24"/>
        </w:rPr>
        <w:t xml:space="preserve">, </w:t>
      </w:r>
      <w:hyperlink r:id="rId7" w:history="1">
        <w:r w:rsidRPr="00BC29FA">
          <w:rPr>
            <w:rStyle w:val="a8"/>
            <w:lang w:val="en-US"/>
          </w:rPr>
          <w:t>shakhatov</w:t>
        </w:r>
        <w:r w:rsidRPr="00BC29FA">
          <w:rPr>
            <w:rStyle w:val="a8"/>
          </w:rPr>
          <w:t>@</w:t>
        </w:r>
        <w:r w:rsidRPr="00BC29FA">
          <w:rPr>
            <w:rStyle w:val="a8"/>
            <w:lang w:val="en-US"/>
          </w:rPr>
          <w:t>ips</w:t>
        </w:r>
        <w:r w:rsidRPr="00BC29FA">
          <w:rPr>
            <w:rStyle w:val="a8"/>
          </w:rPr>
          <w:t>.</w:t>
        </w:r>
        <w:r w:rsidRPr="00BC29FA">
          <w:rPr>
            <w:rStyle w:val="a8"/>
            <w:lang w:val="en-US"/>
          </w:rPr>
          <w:t>ac</w:t>
        </w:r>
        <w:r w:rsidRPr="00BC29FA">
          <w:rPr>
            <w:rStyle w:val="a8"/>
          </w:rPr>
          <w:t>.</w:t>
        </w:r>
        <w:r w:rsidRPr="00BC29FA">
          <w:rPr>
            <w:rStyle w:val="a8"/>
            <w:lang w:val="en-US"/>
          </w:rPr>
          <w:t>ru</w:t>
        </w:r>
      </w:hyperlink>
      <w:r w:rsidRPr="00BE2EC0">
        <w:rPr>
          <w:szCs w:val="24"/>
        </w:rPr>
        <w:t xml:space="preserve">, </w:t>
      </w:r>
      <w:hyperlink r:id="rId8" w:history="1">
        <w:r w:rsidRPr="00BC29FA">
          <w:rPr>
            <w:rStyle w:val="a8"/>
            <w:lang w:val="en-US"/>
          </w:rPr>
          <w:t>lebedev</w:t>
        </w:r>
        <w:r w:rsidRPr="00BC29FA">
          <w:rPr>
            <w:rStyle w:val="a8"/>
          </w:rPr>
          <w:t>@</w:t>
        </w:r>
        <w:r w:rsidRPr="00BC29FA">
          <w:rPr>
            <w:rStyle w:val="a8"/>
            <w:lang w:val="en-US"/>
          </w:rPr>
          <w:t>ips</w:t>
        </w:r>
        <w:r w:rsidRPr="00BC29FA">
          <w:rPr>
            <w:rStyle w:val="a8"/>
          </w:rPr>
          <w:t>.</w:t>
        </w:r>
        <w:r w:rsidRPr="00BC29FA">
          <w:rPr>
            <w:rStyle w:val="a8"/>
            <w:lang w:val="en-US"/>
          </w:rPr>
          <w:t>ac</w:t>
        </w:r>
        <w:r w:rsidRPr="00BC29FA">
          <w:rPr>
            <w:rStyle w:val="a8"/>
          </w:rPr>
          <w:t>.</w:t>
        </w:r>
        <w:r w:rsidRPr="00BC29FA">
          <w:rPr>
            <w:rStyle w:val="a8"/>
            <w:lang w:val="en-US"/>
          </w:rPr>
          <w:t>ru</w:t>
        </w:r>
      </w:hyperlink>
      <w:bookmarkEnd w:id="0"/>
      <w:r w:rsidRPr="00BE2EC0">
        <w:rPr>
          <w:szCs w:val="24"/>
        </w:rPr>
        <w:t xml:space="preserve"> </w:t>
      </w:r>
    </w:p>
    <w:p w:rsidR="008B0B33" w:rsidRDefault="008B0B33" w:rsidP="008B0B33">
      <w:pPr>
        <w:pStyle w:val="Zv-bodyreport"/>
      </w:pPr>
      <w:r w:rsidRPr="00A84249">
        <w:t xml:space="preserve">В рамках уровневой полуэмпирической СИМ водородной </w:t>
      </w:r>
      <w:r>
        <w:t>НТП</w:t>
      </w:r>
      <w:r w:rsidRPr="00A84249">
        <w:t>, развитой в данной работе, выполнен анализ применимости спектральных методов диагностики по излучению триплетных состояний</w:t>
      </w:r>
      <w:r>
        <w:t xml:space="preserve"> </w:t>
      </w:r>
      <w:r w:rsidRPr="00CC28A6">
        <w:rPr>
          <w:rFonts w:eastAsia="Calibri"/>
          <w:position w:val="-12"/>
          <w:lang w:eastAsia="en-US"/>
        </w:rPr>
        <w:object w:dxaOrig="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.75pt">
            <v:imagedata r:id="rId9" o:title=""/>
          </v:shape>
        </w:object>
      </w:r>
      <w:r>
        <w:t xml:space="preserve"> </w:t>
      </w:r>
      <w:r w:rsidRPr="00A84249">
        <w:t>(</w:t>
      </w:r>
      <w:r w:rsidRPr="00A84249">
        <w:rPr>
          <w:position w:val="-14"/>
        </w:rPr>
        <w:object w:dxaOrig="520" w:dyaOrig="400">
          <v:shape id="_x0000_i1026" type="#_x0000_t75" style="width:26.25pt;height:20.25pt" o:ole="">
            <v:imagedata r:id="rId10" o:title=""/>
          </v:shape>
          <o:OLEObject Type="Embed" ProgID="Equation.DSMT4" ShapeID="_x0000_i1026" DrawAspect="Content" ObjectID="_1545058842" r:id="rId11"/>
        </w:object>
      </w:r>
      <w:r w:rsidRPr="00A84249">
        <w:t xml:space="preserve">, </w:t>
      </w:r>
      <w:r w:rsidRPr="00A84249">
        <w:rPr>
          <w:position w:val="-12"/>
        </w:rPr>
        <w:object w:dxaOrig="580" w:dyaOrig="380">
          <v:shape id="_x0000_i1027" type="#_x0000_t75" style="width:29.25pt;height:18.75pt" o:ole="">
            <v:imagedata r:id="rId12" o:title=""/>
          </v:shape>
          <o:OLEObject Type="Embed" ProgID="Equation.DSMT4" ShapeID="_x0000_i1027" DrawAspect="Content" ObjectID="_1545058843" r:id="rId13"/>
        </w:object>
      </w:r>
      <w:r w:rsidRPr="00A84249">
        <w:t xml:space="preserve">, </w:t>
      </w:r>
      <w:r w:rsidRPr="00A84249">
        <w:rPr>
          <w:position w:val="-12"/>
        </w:rPr>
        <w:object w:dxaOrig="499" w:dyaOrig="380">
          <v:shape id="_x0000_i1028" type="#_x0000_t75" style="width:24.75pt;height:18.75pt" o:ole="">
            <v:imagedata r:id="rId14" o:title=""/>
          </v:shape>
          <o:OLEObject Type="Embed" ProgID="Equation.DSMT4" ShapeID="_x0000_i1028" DrawAspect="Content" ObjectID="_1545058844" r:id="rId15"/>
        </w:object>
      </w:r>
      <w:r w:rsidRPr="00A84249">
        <w:t xml:space="preserve">, </w:t>
      </w:r>
      <w:r w:rsidRPr="00A84249">
        <w:rPr>
          <w:position w:val="-12"/>
        </w:rPr>
        <w:object w:dxaOrig="560" w:dyaOrig="380">
          <v:shape id="_x0000_i1029" type="#_x0000_t75" style="width:27.75pt;height:18.75pt" o:ole="">
            <v:imagedata r:id="rId16" o:title=""/>
          </v:shape>
          <o:OLEObject Type="Embed" ProgID="Equation.DSMT4" ShapeID="_x0000_i1029" DrawAspect="Content" ObjectID="_1545058845" r:id="rId17"/>
        </w:object>
      </w:r>
      <w:r w:rsidRPr="00A84249">
        <w:t xml:space="preserve">, </w:t>
      </w:r>
      <w:r w:rsidRPr="00A84249">
        <w:rPr>
          <w:position w:val="-14"/>
        </w:rPr>
        <w:object w:dxaOrig="540" w:dyaOrig="400">
          <v:shape id="_x0000_i1030" type="#_x0000_t75" style="width:27pt;height:20.25pt" o:ole="">
            <v:imagedata r:id="rId18" o:title=""/>
          </v:shape>
          <o:OLEObject Type="Embed" ProgID="Equation.DSMT4" ShapeID="_x0000_i1030" DrawAspect="Content" ObjectID="_1545058846" r:id="rId19"/>
        </w:object>
      </w:r>
      <w:r w:rsidRPr="00A84249">
        <w:t xml:space="preserve">, </w:t>
      </w:r>
      <w:r w:rsidRPr="00A84249">
        <w:rPr>
          <w:position w:val="-14"/>
        </w:rPr>
        <w:object w:dxaOrig="520" w:dyaOrig="400">
          <v:shape id="_x0000_i1031" type="#_x0000_t75" style="width:26.25pt;height:20.25pt" o:ole="">
            <v:imagedata r:id="rId20" o:title=""/>
          </v:shape>
          <o:OLEObject Type="Embed" ProgID="Equation.DSMT4" ShapeID="_x0000_i1031" DrawAspect="Content" ObjectID="_1545058847" r:id="rId21"/>
        </w:object>
      </w:r>
      <w:r w:rsidRPr="00A84249">
        <w:t xml:space="preserve">, </w:t>
      </w:r>
      <w:r w:rsidRPr="00A84249">
        <w:rPr>
          <w:position w:val="-14"/>
        </w:rPr>
        <w:object w:dxaOrig="499" w:dyaOrig="400">
          <v:shape id="_x0000_i1032" type="#_x0000_t75" style="width:24.75pt;height:20.25pt" o:ole="">
            <v:imagedata r:id="rId22" o:title=""/>
          </v:shape>
          <o:OLEObject Type="Embed" ProgID="Equation.DSMT4" ShapeID="_x0000_i1032" DrawAspect="Content" ObjectID="_1545058848" r:id="rId23"/>
        </w:object>
      </w:r>
      <w:r w:rsidRPr="00A84249">
        <w:t xml:space="preserve">, </w:t>
      </w:r>
      <w:r w:rsidRPr="00A84249">
        <w:rPr>
          <w:position w:val="-12"/>
        </w:rPr>
        <w:object w:dxaOrig="560" w:dyaOrig="380">
          <v:shape id="_x0000_i1033" type="#_x0000_t75" style="width:27.75pt;height:18.75pt" o:ole="">
            <v:imagedata r:id="rId24" o:title=""/>
          </v:shape>
          <o:OLEObject Type="Embed" ProgID="Equation.DSMT4" ShapeID="_x0000_i1033" DrawAspect="Content" ObjectID="_1545058849" r:id="rId25"/>
        </w:object>
      </w:r>
      <w:r w:rsidRPr="00A84249">
        <w:t xml:space="preserve"> и </w:t>
      </w:r>
      <w:r w:rsidRPr="00A84249">
        <w:rPr>
          <w:position w:val="-14"/>
        </w:rPr>
        <w:object w:dxaOrig="560" w:dyaOrig="400">
          <v:shape id="_x0000_i1034" type="#_x0000_t75" style="width:27.75pt;height:20.25pt" o:ole="">
            <v:imagedata r:id="rId26" o:title=""/>
          </v:shape>
          <o:OLEObject Type="Embed" ProgID="Equation.DSMT4" ShapeID="_x0000_i1034" DrawAspect="Content" ObjectID="_1545058850" r:id="rId27"/>
        </w:object>
      </w:r>
      <w:r w:rsidRPr="00A84249">
        <w:t>) моле</w:t>
      </w:r>
      <w:r>
        <w:t>кулы</w:t>
      </w:r>
      <w:r w:rsidRPr="00A84249">
        <w:t xml:space="preserve"> водорода</w:t>
      </w:r>
      <w:r w:rsidRPr="00E03893">
        <w:t xml:space="preserve"> </w:t>
      </w:r>
      <w:r w:rsidRPr="00A84249">
        <w:t>в</w:t>
      </w:r>
      <w:r>
        <w:t xml:space="preserve"> положительном столбе (ПС) тлеющего</w:t>
      </w:r>
      <w:r w:rsidRPr="00A84249">
        <w:t xml:space="preserve"> разряда постоянного тока</w:t>
      </w:r>
      <w:r>
        <w:t xml:space="preserve"> (ТРПТ)</w:t>
      </w:r>
      <w:r w:rsidRPr="00A84249">
        <w:t xml:space="preserve"> в диапазонах изменения приведенной напряженности электрического поля </w:t>
      </w:r>
      <w:r w:rsidRPr="00A84249">
        <w:rPr>
          <w:position w:val="-6"/>
        </w:rPr>
        <w:object w:dxaOrig="780" w:dyaOrig="279">
          <v:shape id="_x0000_i1035" type="#_x0000_t75" style="width:39pt;height:14.25pt" o:ole="">
            <v:imagedata r:id="rId28" o:title=""/>
          </v:shape>
          <o:OLEObject Type="Embed" ProgID="Equation.DSMT4" ShapeID="_x0000_i1035" DrawAspect="Content" ObjectID="_1545058851" r:id="rId29"/>
        </w:object>
      </w:r>
      <w:r>
        <w:t>30 </w:t>
      </w:r>
      <w:r w:rsidRPr="00A84249">
        <w:t xml:space="preserve">– </w:t>
      </w:r>
      <w:r>
        <w:t>1</w:t>
      </w:r>
      <w:r w:rsidRPr="00A84249">
        <w:t>3</w:t>
      </w:r>
      <w:r>
        <w:t>0</w:t>
      </w:r>
      <w:r w:rsidRPr="00A84249">
        <w:t xml:space="preserve"> Тд, давления </w:t>
      </w:r>
      <w:r w:rsidRPr="00A84249">
        <w:rPr>
          <w:position w:val="-10"/>
        </w:rPr>
        <w:object w:dxaOrig="420" w:dyaOrig="260">
          <v:shape id="_x0000_i1036" type="#_x0000_t75" style="width:21pt;height:12.75pt" o:ole="">
            <v:imagedata r:id="rId30" o:title=""/>
          </v:shape>
          <o:OLEObject Type="Embed" ProgID="Equation.DSMT4" ShapeID="_x0000_i1036" DrawAspect="Content" ObjectID="_1545058852" r:id="rId31"/>
        </w:object>
      </w:r>
      <w:r>
        <w:t>0.3 – </w:t>
      </w:r>
      <w:r w:rsidRPr="00A84249">
        <w:t>15 То</w:t>
      </w:r>
      <w:r>
        <w:t>р</w:t>
      </w:r>
      <w:r w:rsidRPr="00A84249">
        <w:t xml:space="preserve">р и концентрации электронов </w:t>
      </w:r>
      <w:r w:rsidRPr="00A84249">
        <w:rPr>
          <w:position w:val="-12"/>
        </w:rPr>
        <w:object w:dxaOrig="540" w:dyaOrig="360">
          <v:shape id="_x0000_i1037" type="#_x0000_t75" style="width:27pt;height:18pt" o:ole="">
            <v:imagedata r:id="rId32" o:title=""/>
          </v:shape>
          <o:OLEObject Type="Embed" ProgID="Equation.DSMT4" ShapeID="_x0000_i1037" DrawAspect="Content" ObjectID="_1545058853" r:id="rId33"/>
        </w:object>
      </w:r>
      <w:r w:rsidRPr="00A84249">
        <w:t>4.0</w:t>
      </w:r>
      <w:r>
        <w:rPr>
          <w:lang w:val="en-US"/>
        </w:rPr>
        <w:t> </w:t>
      </w:r>
      <w:r w:rsidRPr="00A84249">
        <w:t>×</w:t>
      </w:r>
      <w:r>
        <w:rPr>
          <w:lang w:val="en-US"/>
        </w:rPr>
        <w:t> </w:t>
      </w:r>
      <w:r w:rsidRPr="00A84249">
        <w:t>10</w:t>
      </w:r>
      <w:r w:rsidRPr="00A84249">
        <w:rPr>
          <w:vertAlign w:val="superscript"/>
        </w:rPr>
        <w:t>9</w:t>
      </w:r>
      <w:r>
        <w:t xml:space="preserve"> – 6</w:t>
      </w:r>
      <w:r w:rsidRPr="00A84249">
        <w:t>.</w:t>
      </w:r>
      <w:r>
        <w:t>5 </w:t>
      </w:r>
      <w:r w:rsidRPr="00A84249">
        <w:t>×</w:t>
      </w:r>
      <w:r>
        <w:t> </w:t>
      </w:r>
      <w:r w:rsidRPr="00A84249">
        <w:t>10</w:t>
      </w:r>
      <w:r w:rsidRPr="00A84249">
        <w:rPr>
          <w:vertAlign w:val="superscript"/>
        </w:rPr>
        <w:t>10</w:t>
      </w:r>
      <w:r w:rsidRPr="00A84249">
        <w:t xml:space="preserve"> см</w:t>
      </w:r>
      <w:r>
        <w:rPr>
          <w:vertAlign w:val="superscript"/>
        </w:rPr>
        <w:t>–</w:t>
      </w:r>
      <w:r w:rsidRPr="00A84249">
        <w:rPr>
          <w:vertAlign w:val="superscript"/>
        </w:rPr>
        <w:t>3</w:t>
      </w:r>
      <w:r w:rsidRPr="00E03893">
        <w:t xml:space="preserve">. </w:t>
      </w:r>
    </w:p>
    <w:p w:rsidR="008B0B33" w:rsidRDefault="008B0B33" w:rsidP="008B0B33">
      <w:pPr>
        <w:pStyle w:val="Zv-bodyreport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281E04">
        <w:rPr>
          <w:rFonts w:eastAsia="Calibri"/>
          <w:lang w:eastAsia="en-US"/>
        </w:rPr>
        <w:t xml:space="preserve">торичные процессы дают наибольший вклад в рождение и гибель состояний </w:t>
      </w:r>
      <w:r w:rsidRPr="00281E04">
        <w:rPr>
          <w:rFonts w:eastAsia="Calibri"/>
          <w:position w:val="-14"/>
          <w:lang w:eastAsia="en-US"/>
        </w:rPr>
        <w:object w:dxaOrig="520" w:dyaOrig="400">
          <v:shape id="_x0000_i1038" type="#_x0000_t75" style="width:26.25pt;height:20.25pt" o:ole="">
            <v:imagedata r:id="rId10" o:title=""/>
          </v:shape>
          <o:OLEObject Type="Embed" ProgID="Equation.DSMT4" ShapeID="_x0000_i1038" DrawAspect="Content" ObjectID="_1545058854" r:id="rId34"/>
        </w:object>
      </w:r>
      <w:r w:rsidRPr="00281E04">
        <w:rPr>
          <w:rFonts w:eastAsia="Calibri"/>
          <w:lang w:eastAsia="en-US"/>
        </w:rPr>
        <w:t xml:space="preserve">, </w:t>
      </w:r>
      <w:r w:rsidRPr="00281E04">
        <w:rPr>
          <w:rFonts w:eastAsia="Calibri"/>
          <w:position w:val="-12"/>
          <w:lang w:eastAsia="en-US"/>
        </w:rPr>
        <w:object w:dxaOrig="540" w:dyaOrig="380">
          <v:shape id="_x0000_i1039" type="#_x0000_t75" style="width:27pt;height:18.75pt">
            <v:imagedata r:id="rId35" o:title=""/>
          </v:shape>
        </w:object>
      </w:r>
      <w:r w:rsidRPr="00281E04">
        <w:rPr>
          <w:rFonts w:eastAsia="Calibri"/>
          <w:lang w:eastAsia="en-US"/>
        </w:rPr>
        <w:t xml:space="preserve">, </w:t>
      </w:r>
      <w:r w:rsidRPr="00281E04">
        <w:rPr>
          <w:rFonts w:eastAsia="Calibri"/>
          <w:position w:val="-14"/>
          <w:lang w:eastAsia="en-US"/>
        </w:rPr>
        <w:object w:dxaOrig="540" w:dyaOrig="400">
          <v:shape id="_x0000_i1040" type="#_x0000_t75" style="width:27pt;height:20.25pt" o:ole="">
            <v:imagedata r:id="rId18" o:title=""/>
          </v:shape>
          <o:OLEObject Type="Embed" ProgID="Equation.DSMT4" ShapeID="_x0000_i1040" DrawAspect="Content" ObjectID="_1545058855" r:id="rId36"/>
        </w:object>
      </w:r>
      <w:r w:rsidRPr="00281E04">
        <w:rPr>
          <w:rFonts w:eastAsia="Calibri"/>
          <w:lang w:eastAsia="en-US"/>
        </w:rPr>
        <w:t xml:space="preserve">, </w:t>
      </w:r>
      <w:r w:rsidRPr="00281E04">
        <w:rPr>
          <w:rFonts w:eastAsia="Calibri"/>
          <w:position w:val="-14"/>
          <w:lang w:eastAsia="en-US"/>
        </w:rPr>
        <w:object w:dxaOrig="520" w:dyaOrig="400">
          <v:shape id="_x0000_i1041" type="#_x0000_t75" style="width:26.25pt;height:20.25pt" o:ole="">
            <v:imagedata r:id="rId20" o:title=""/>
          </v:shape>
          <o:OLEObject Type="Embed" ProgID="Equation.DSMT4" ShapeID="_x0000_i1041" DrawAspect="Content" ObjectID="_1545058856" r:id="rId37"/>
        </w:object>
      </w:r>
      <w:r w:rsidRPr="00281E04">
        <w:rPr>
          <w:rFonts w:eastAsia="Calibri"/>
          <w:lang w:eastAsia="en-US"/>
        </w:rPr>
        <w:t xml:space="preserve"> и </w:t>
      </w:r>
      <w:r w:rsidRPr="00281E04">
        <w:rPr>
          <w:rFonts w:eastAsia="Calibri"/>
          <w:position w:val="-14"/>
          <w:lang w:eastAsia="en-US"/>
        </w:rPr>
        <w:object w:dxaOrig="499" w:dyaOrig="400">
          <v:shape id="_x0000_i1042" type="#_x0000_t75" style="width:24.75pt;height:20.25pt" o:ole="">
            <v:imagedata r:id="rId22" o:title=""/>
          </v:shape>
          <o:OLEObject Type="Embed" ProgID="Equation.DSMT4" ShapeID="_x0000_i1042" DrawAspect="Content" ObjectID="_1545058857" r:id="rId38"/>
        </w:object>
      </w:r>
      <w:r w:rsidRPr="00281E04">
        <w:rPr>
          <w:rFonts w:eastAsia="Calibri"/>
          <w:lang w:eastAsia="en-US"/>
        </w:rPr>
        <w:t xml:space="preserve"> в </w:t>
      </w:r>
      <w:r>
        <w:rPr>
          <w:rFonts w:eastAsia="Calibri"/>
          <w:lang w:eastAsia="en-US"/>
        </w:rPr>
        <w:t>исследуемом</w:t>
      </w:r>
      <w:r w:rsidRPr="00281E04">
        <w:rPr>
          <w:rFonts w:eastAsia="Calibri"/>
          <w:lang w:eastAsia="en-US"/>
        </w:rPr>
        <w:t xml:space="preserve"> диапазоне изменения </w:t>
      </w:r>
      <w:r w:rsidRPr="00281E04">
        <w:rPr>
          <w:rFonts w:eastAsia="Calibri"/>
          <w:position w:val="-6"/>
          <w:lang w:eastAsia="en-US"/>
        </w:rPr>
        <w:object w:dxaOrig="580" w:dyaOrig="279">
          <v:shape id="_x0000_i1043" type="#_x0000_t75" style="width:29.25pt;height:14.25pt" o:ole="">
            <v:imagedata r:id="rId39" o:title=""/>
          </v:shape>
          <o:OLEObject Type="Embed" ProgID="Equation.DSMT4" ShapeID="_x0000_i1043" DrawAspect="Content" ObjectID="_1545058858" r:id="rId40"/>
        </w:object>
      </w:r>
      <w:r w:rsidRPr="00281E04">
        <w:rPr>
          <w:rFonts w:eastAsia="Calibri"/>
          <w:lang w:eastAsia="en-US"/>
        </w:rPr>
        <w:t xml:space="preserve">, </w:t>
      </w:r>
      <w:r w:rsidRPr="00281E04">
        <w:rPr>
          <w:rFonts w:eastAsia="Calibri"/>
          <w:position w:val="-10"/>
          <w:lang w:eastAsia="en-US"/>
        </w:rPr>
        <w:object w:dxaOrig="240" w:dyaOrig="260">
          <v:shape id="_x0000_i1044" type="#_x0000_t75" style="width:12pt;height:12.75pt" o:ole="">
            <v:imagedata r:id="rId41" o:title=""/>
          </v:shape>
          <o:OLEObject Type="Embed" ProgID="Equation.DSMT4" ShapeID="_x0000_i1044" DrawAspect="Content" ObjectID="_1545058859" r:id="rId42"/>
        </w:object>
      </w:r>
      <w:r w:rsidRPr="00281E04">
        <w:rPr>
          <w:rFonts w:eastAsia="Calibri"/>
          <w:lang w:eastAsia="en-US"/>
        </w:rPr>
        <w:t xml:space="preserve"> и </w:t>
      </w:r>
      <w:r w:rsidRPr="00281E04">
        <w:rPr>
          <w:rFonts w:eastAsia="Calibri"/>
          <w:position w:val="-12"/>
          <w:lang w:eastAsia="en-US"/>
        </w:rPr>
        <w:object w:dxaOrig="320" w:dyaOrig="360">
          <v:shape id="_x0000_i1045" type="#_x0000_t75" style="width:15.75pt;height:18pt" o:ole="">
            <v:imagedata r:id="rId43" o:title=""/>
          </v:shape>
          <o:OLEObject Type="Embed" ProgID="Equation.DSMT4" ShapeID="_x0000_i1045" DrawAspect="Content" ObjectID="_1545058860" r:id="rId44"/>
        </w:object>
      </w:r>
      <w:r w:rsidRPr="00281E04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С</w:t>
      </w:r>
      <w:r w:rsidRPr="00281E04">
        <w:rPr>
          <w:rFonts w:eastAsia="Calibri"/>
          <w:lang w:eastAsia="en-US"/>
        </w:rPr>
        <w:t xml:space="preserve">остав, количество и иерархия процессов, определяющих баланс концентраций для состояний </w:t>
      </w:r>
      <w:r w:rsidRPr="00281E04">
        <w:rPr>
          <w:rFonts w:eastAsia="Calibri"/>
          <w:position w:val="-14"/>
          <w:lang w:eastAsia="en-US"/>
        </w:rPr>
        <w:object w:dxaOrig="520" w:dyaOrig="400">
          <v:shape id="_x0000_i1046" type="#_x0000_t75" style="width:26.25pt;height:20.25pt" o:ole="">
            <v:imagedata r:id="rId10" o:title=""/>
          </v:shape>
          <o:OLEObject Type="Embed" ProgID="Equation.DSMT4" ShapeID="_x0000_i1046" DrawAspect="Content" ObjectID="_1545058861" r:id="rId45"/>
        </w:object>
      </w:r>
      <w:r w:rsidRPr="00281E04">
        <w:rPr>
          <w:rFonts w:eastAsia="Calibri"/>
          <w:lang w:eastAsia="en-US"/>
        </w:rPr>
        <w:t xml:space="preserve">, </w:t>
      </w:r>
      <w:r w:rsidRPr="00281E04">
        <w:rPr>
          <w:rFonts w:eastAsia="Calibri"/>
          <w:position w:val="-12"/>
          <w:lang w:eastAsia="en-US"/>
        </w:rPr>
        <w:object w:dxaOrig="540" w:dyaOrig="380">
          <v:shape id="_x0000_i1047" type="#_x0000_t75" style="width:27pt;height:18.75pt">
            <v:imagedata r:id="rId35" o:title=""/>
          </v:shape>
        </w:object>
      </w:r>
      <w:r w:rsidRPr="00281E04">
        <w:rPr>
          <w:rFonts w:eastAsia="Calibri"/>
          <w:lang w:eastAsia="en-US"/>
        </w:rPr>
        <w:t xml:space="preserve">, </w:t>
      </w:r>
      <w:r w:rsidRPr="00281E04">
        <w:rPr>
          <w:rFonts w:eastAsia="Calibri"/>
          <w:position w:val="-14"/>
          <w:lang w:eastAsia="en-US"/>
        </w:rPr>
        <w:object w:dxaOrig="540" w:dyaOrig="400">
          <v:shape id="_x0000_i1048" type="#_x0000_t75" style="width:27pt;height:20.25pt" o:ole="">
            <v:imagedata r:id="rId18" o:title=""/>
          </v:shape>
          <o:OLEObject Type="Embed" ProgID="Equation.DSMT4" ShapeID="_x0000_i1048" DrawAspect="Content" ObjectID="_1545058862" r:id="rId46"/>
        </w:object>
      </w:r>
      <w:r w:rsidRPr="00281E04">
        <w:rPr>
          <w:rFonts w:eastAsia="Calibri"/>
          <w:lang w:eastAsia="en-US"/>
        </w:rPr>
        <w:t xml:space="preserve">, </w:t>
      </w:r>
      <w:r w:rsidRPr="00281E04">
        <w:rPr>
          <w:rFonts w:eastAsia="Calibri"/>
          <w:position w:val="-14"/>
          <w:lang w:eastAsia="en-US"/>
        </w:rPr>
        <w:object w:dxaOrig="520" w:dyaOrig="400">
          <v:shape id="_x0000_i1049" type="#_x0000_t75" style="width:26.25pt;height:20.25pt" o:ole="">
            <v:imagedata r:id="rId20" o:title=""/>
          </v:shape>
          <o:OLEObject Type="Embed" ProgID="Equation.DSMT4" ShapeID="_x0000_i1049" DrawAspect="Content" ObjectID="_1545058863" r:id="rId47"/>
        </w:object>
      </w:r>
      <w:r w:rsidRPr="00281E04">
        <w:rPr>
          <w:rFonts w:eastAsia="Calibri"/>
          <w:lang w:eastAsia="en-US"/>
        </w:rPr>
        <w:t xml:space="preserve"> и </w:t>
      </w:r>
      <w:r w:rsidRPr="00281E04">
        <w:rPr>
          <w:rFonts w:eastAsia="Calibri"/>
          <w:position w:val="-14"/>
          <w:lang w:eastAsia="en-US"/>
        </w:rPr>
        <w:object w:dxaOrig="499" w:dyaOrig="400">
          <v:shape id="_x0000_i1050" type="#_x0000_t75" style="width:24.75pt;height:20.25pt" o:ole="">
            <v:imagedata r:id="rId22" o:title=""/>
          </v:shape>
          <o:OLEObject Type="Embed" ProgID="Equation.DSMT4" ShapeID="_x0000_i1050" DrawAspect="Content" ObjectID="_1545058864" r:id="rId48"/>
        </w:object>
      </w:r>
      <w:r w:rsidRPr="00281E04">
        <w:rPr>
          <w:rFonts w:eastAsia="Calibri"/>
          <w:lang w:eastAsia="en-US"/>
        </w:rPr>
        <w:t xml:space="preserve"> зависят от </w:t>
      </w:r>
      <w:r w:rsidRPr="00281E04">
        <w:rPr>
          <w:rFonts w:eastAsia="Calibri"/>
          <w:position w:val="-6"/>
          <w:lang w:eastAsia="en-US"/>
        </w:rPr>
        <w:object w:dxaOrig="580" w:dyaOrig="279">
          <v:shape id="_x0000_i1051" type="#_x0000_t75" style="width:29.25pt;height:14.25pt">
            <v:imagedata r:id="rId49" o:title=""/>
          </v:shape>
        </w:object>
      </w:r>
      <w:r w:rsidRPr="00281E04">
        <w:rPr>
          <w:rFonts w:eastAsia="Calibri"/>
          <w:lang w:eastAsia="en-US"/>
        </w:rPr>
        <w:t xml:space="preserve">, </w:t>
      </w:r>
      <w:r w:rsidRPr="00281E04">
        <w:rPr>
          <w:rFonts w:eastAsia="Calibri"/>
          <w:position w:val="-10"/>
          <w:lang w:eastAsia="en-US"/>
        </w:rPr>
        <w:object w:dxaOrig="240" w:dyaOrig="260">
          <v:shape id="_x0000_i1052" type="#_x0000_t75" style="width:12pt;height:12.75pt">
            <v:imagedata r:id="rId50" o:title=""/>
          </v:shape>
        </w:object>
      </w:r>
      <w:r w:rsidRPr="00281E0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</w:t>
      </w:r>
      <w:r w:rsidRPr="00281E04">
        <w:rPr>
          <w:rFonts w:eastAsia="Calibri"/>
          <w:position w:val="-12"/>
          <w:lang w:eastAsia="en-US"/>
        </w:rPr>
        <w:object w:dxaOrig="320" w:dyaOrig="360">
          <v:shape id="_x0000_i1053" type="#_x0000_t75" style="width:15.75pt;height:18pt">
            <v:imagedata r:id="rId51" o:title=""/>
          </v:shape>
        </w:object>
      </w:r>
      <w:r w:rsidRPr="00281E04">
        <w:rPr>
          <w:rFonts w:eastAsia="Calibri"/>
          <w:lang w:eastAsia="en-US"/>
        </w:rPr>
        <w:t xml:space="preserve">. </w:t>
      </w:r>
      <w:r w:rsidRPr="00857C22">
        <w:rPr>
          <w:rFonts w:eastAsia="Calibri"/>
          <w:lang w:eastAsia="en-US"/>
        </w:rPr>
        <w:t xml:space="preserve">Наименьший вклад вторичные процессы дают в рождение и гибель состояний </w:t>
      </w:r>
      <w:r w:rsidRPr="00857C22">
        <w:rPr>
          <w:rFonts w:eastAsia="Calibri"/>
          <w:position w:val="-12"/>
          <w:lang w:eastAsia="en-US"/>
        </w:rPr>
        <w:object w:dxaOrig="499" w:dyaOrig="380">
          <v:shape id="_x0000_i1054" type="#_x0000_t75" style="width:24.75pt;height:18.75pt">
            <v:imagedata r:id="rId52" o:title=""/>
          </v:shape>
        </w:object>
      </w:r>
      <w:r w:rsidRPr="00857C22">
        <w:rPr>
          <w:rFonts w:eastAsia="Calibri"/>
          <w:lang w:eastAsia="en-US"/>
        </w:rPr>
        <w:t xml:space="preserve">, </w:t>
      </w:r>
      <w:r w:rsidRPr="00857C22">
        <w:rPr>
          <w:rFonts w:eastAsia="Calibri"/>
          <w:position w:val="-12"/>
          <w:lang w:eastAsia="en-US"/>
        </w:rPr>
        <w:object w:dxaOrig="560" w:dyaOrig="380">
          <v:shape id="_x0000_i1055" type="#_x0000_t75" style="width:27.75pt;height:18.75pt">
            <v:imagedata r:id="rId53" o:title=""/>
          </v:shape>
        </w:object>
      </w:r>
      <w:r w:rsidRPr="00857C22">
        <w:rPr>
          <w:rFonts w:eastAsia="Calibri"/>
          <w:lang w:eastAsia="en-US"/>
        </w:rPr>
        <w:t xml:space="preserve">, </w:t>
      </w:r>
      <w:r w:rsidRPr="00857C22">
        <w:rPr>
          <w:rFonts w:eastAsia="Calibri"/>
          <w:position w:val="-12"/>
          <w:lang w:eastAsia="en-US"/>
        </w:rPr>
        <w:object w:dxaOrig="580" w:dyaOrig="380">
          <v:shape id="_x0000_i1056" type="#_x0000_t75" style="width:29.25pt;height:18.75pt" o:ole="">
            <v:imagedata r:id="rId12" o:title=""/>
          </v:shape>
          <o:OLEObject Type="Embed" ProgID="Equation.DSMT4" ShapeID="_x0000_i1056" DrawAspect="Content" ObjectID="_1545058865" r:id="rId54"/>
        </w:object>
      </w:r>
      <w:r w:rsidRPr="00857C22">
        <w:rPr>
          <w:rFonts w:eastAsia="Calibri"/>
          <w:lang w:eastAsia="en-US"/>
        </w:rPr>
        <w:t xml:space="preserve">, </w:t>
      </w:r>
      <w:r w:rsidRPr="00857C22">
        <w:rPr>
          <w:rFonts w:eastAsia="Calibri"/>
          <w:position w:val="-12"/>
          <w:lang w:eastAsia="en-US"/>
        </w:rPr>
        <w:object w:dxaOrig="560" w:dyaOrig="380">
          <v:shape id="_x0000_i1057" type="#_x0000_t75" style="width:27.75pt;height:18.75pt" o:ole="">
            <v:imagedata r:id="rId24" o:title=""/>
          </v:shape>
          <o:OLEObject Type="Embed" ProgID="Equation.DSMT4" ShapeID="_x0000_i1057" DrawAspect="Content" ObjectID="_1545058866" r:id="rId55"/>
        </w:object>
      </w:r>
      <w:r w:rsidRPr="00857C22">
        <w:rPr>
          <w:rFonts w:eastAsia="Calibri"/>
          <w:lang w:eastAsia="en-US"/>
        </w:rPr>
        <w:t xml:space="preserve"> и </w:t>
      </w:r>
      <w:r w:rsidRPr="00857C22">
        <w:rPr>
          <w:rFonts w:eastAsia="Calibri"/>
          <w:position w:val="-14"/>
          <w:lang w:eastAsia="en-US"/>
        </w:rPr>
        <w:object w:dxaOrig="560" w:dyaOrig="400">
          <v:shape id="_x0000_i1058" type="#_x0000_t75" style="width:27.75pt;height:20.25pt" o:ole="">
            <v:imagedata r:id="rId26" o:title=""/>
          </v:shape>
          <o:OLEObject Type="Embed" ProgID="Equation.DSMT4" ShapeID="_x0000_i1058" DrawAspect="Content" ObjectID="_1545058867" r:id="rId56"/>
        </w:object>
      </w:r>
      <w:r w:rsidRPr="00857C22">
        <w:rPr>
          <w:rFonts w:eastAsia="Calibri"/>
          <w:lang w:eastAsia="en-US"/>
        </w:rPr>
        <w:t xml:space="preserve">. Для состояний </w:t>
      </w:r>
      <w:r w:rsidRPr="00857C22">
        <w:rPr>
          <w:rFonts w:eastAsia="Calibri"/>
          <w:position w:val="-12"/>
          <w:lang w:eastAsia="en-US"/>
        </w:rPr>
        <w:object w:dxaOrig="499" w:dyaOrig="380">
          <v:shape id="_x0000_i1059" type="#_x0000_t75" style="width:24.75pt;height:18.75pt">
            <v:imagedata r:id="rId52" o:title=""/>
          </v:shape>
        </w:object>
      </w:r>
      <w:r w:rsidRPr="00857C22">
        <w:rPr>
          <w:rFonts w:eastAsia="Calibri"/>
          <w:lang w:eastAsia="en-US"/>
        </w:rPr>
        <w:t xml:space="preserve">, </w:t>
      </w:r>
      <w:r w:rsidRPr="00857C22">
        <w:rPr>
          <w:rFonts w:eastAsia="Calibri"/>
          <w:position w:val="-12"/>
          <w:lang w:eastAsia="en-US"/>
        </w:rPr>
        <w:object w:dxaOrig="560" w:dyaOrig="380">
          <v:shape id="_x0000_i1060" type="#_x0000_t75" style="width:27.75pt;height:18.75pt">
            <v:imagedata r:id="rId53" o:title=""/>
          </v:shape>
        </w:object>
      </w:r>
      <w:r w:rsidRPr="00857C22">
        <w:rPr>
          <w:rFonts w:eastAsia="Calibri"/>
          <w:lang w:eastAsia="en-US"/>
        </w:rPr>
        <w:t xml:space="preserve"> и </w:t>
      </w:r>
      <w:r w:rsidRPr="00857C22">
        <w:rPr>
          <w:rFonts w:eastAsia="Calibri"/>
          <w:position w:val="-12"/>
          <w:lang w:eastAsia="en-US"/>
        </w:rPr>
        <w:object w:dxaOrig="560" w:dyaOrig="380">
          <v:shape id="_x0000_i1061" type="#_x0000_t75" style="width:27.75pt;height:18.75pt" o:ole="">
            <v:imagedata r:id="rId24" o:title=""/>
          </v:shape>
          <o:OLEObject Type="Embed" ProgID="Equation.DSMT4" ShapeID="_x0000_i1061" DrawAspect="Content" ObjectID="_1545058868" r:id="rId57"/>
        </w:object>
      </w:r>
      <w:r w:rsidRPr="00857C22">
        <w:rPr>
          <w:rFonts w:eastAsia="Calibri"/>
          <w:lang w:eastAsia="en-US"/>
        </w:rPr>
        <w:t xml:space="preserve"> зависимость состава, количества и иерархия процессов, определяющих их рождение и гибель, от параметров </w:t>
      </w:r>
      <w:r w:rsidRPr="00857C22">
        <w:rPr>
          <w:rFonts w:eastAsia="Calibri"/>
          <w:position w:val="-6"/>
          <w:lang w:eastAsia="en-US"/>
        </w:rPr>
        <w:object w:dxaOrig="580" w:dyaOrig="279">
          <v:shape id="_x0000_i1062" type="#_x0000_t75" style="width:29.25pt;height:14.25pt">
            <v:imagedata r:id="rId49" o:title=""/>
          </v:shape>
        </w:object>
      </w:r>
      <w:r w:rsidRPr="00857C22">
        <w:rPr>
          <w:rFonts w:eastAsia="Calibri"/>
          <w:lang w:eastAsia="en-US"/>
        </w:rPr>
        <w:t xml:space="preserve">, </w:t>
      </w:r>
      <w:r w:rsidRPr="00857C22">
        <w:rPr>
          <w:rFonts w:eastAsia="Calibri"/>
          <w:position w:val="-10"/>
          <w:lang w:eastAsia="en-US"/>
        </w:rPr>
        <w:object w:dxaOrig="240" w:dyaOrig="260">
          <v:shape id="_x0000_i1063" type="#_x0000_t75" style="width:12pt;height:12.75pt">
            <v:imagedata r:id="rId50" o:title=""/>
          </v:shape>
        </w:object>
      </w:r>
      <w:r w:rsidRPr="00857C22">
        <w:rPr>
          <w:rFonts w:eastAsia="Calibri"/>
          <w:lang w:eastAsia="en-US"/>
        </w:rPr>
        <w:t xml:space="preserve"> и </w:t>
      </w:r>
      <w:r w:rsidRPr="00857C22">
        <w:rPr>
          <w:rFonts w:eastAsia="Calibri"/>
          <w:position w:val="-12"/>
          <w:lang w:eastAsia="en-US"/>
        </w:rPr>
        <w:object w:dxaOrig="320" w:dyaOrig="360">
          <v:shape id="_x0000_i1064" type="#_x0000_t75" style="width:15.75pt;height:18pt">
            <v:imagedata r:id="rId51" o:title=""/>
          </v:shape>
        </w:object>
      </w:r>
      <w:r w:rsidRPr="00857C22">
        <w:rPr>
          <w:rFonts w:eastAsia="Calibri"/>
          <w:lang w:eastAsia="en-US"/>
        </w:rPr>
        <w:t xml:space="preserve"> является слабой. Дипольные разрешенные переходы </w:t>
      </w:r>
      <w:r w:rsidRPr="00857C22">
        <w:rPr>
          <w:rFonts w:eastAsia="Calibri"/>
          <w:position w:val="-16"/>
          <w:lang w:eastAsia="en-US"/>
        </w:rPr>
        <w:object w:dxaOrig="1820" w:dyaOrig="440">
          <v:shape id="_x0000_i1065" type="#_x0000_t75" style="width:90.75pt;height:21.75pt">
            <v:imagedata r:id="rId58" o:title=""/>
          </v:shape>
        </w:object>
      </w:r>
      <w:r w:rsidRPr="00857C22">
        <w:rPr>
          <w:rFonts w:eastAsia="Calibri"/>
          <w:lang w:eastAsia="en-US"/>
        </w:rPr>
        <w:t xml:space="preserve">, </w:t>
      </w:r>
      <w:r w:rsidRPr="00857C22">
        <w:rPr>
          <w:rFonts w:eastAsia="Calibri"/>
          <w:position w:val="-16"/>
          <w:lang w:eastAsia="en-US"/>
        </w:rPr>
        <w:object w:dxaOrig="2480" w:dyaOrig="440">
          <v:shape id="_x0000_i1066" type="#_x0000_t75" style="width:123.75pt;height:21.75pt">
            <v:imagedata r:id="rId59" o:title=""/>
          </v:shape>
        </w:object>
      </w:r>
      <w:r w:rsidRPr="00857C22">
        <w:rPr>
          <w:rFonts w:eastAsia="Calibri"/>
          <w:lang w:eastAsia="en-US"/>
        </w:rPr>
        <w:t xml:space="preserve"> и </w:t>
      </w:r>
      <w:r w:rsidRPr="00857C22">
        <w:rPr>
          <w:rFonts w:eastAsia="Calibri"/>
          <w:position w:val="-16"/>
          <w:lang w:eastAsia="en-US"/>
        </w:rPr>
        <w:object w:dxaOrig="1900" w:dyaOrig="440">
          <v:shape id="_x0000_i1067" type="#_x0000_t75" style="width:95.25pt;height:21.75pt">
            <v:imagedata r:id="rId60" o:title=""/>
          </v:shape>
        </w:object>
      </w:r>
      <w:r w:rsidRPr="00857C22">
        <w:rPr>
          <w:rFonts w:eastAsia="Calibri"/>
          <w:lang w:eastAsia="en-US"/>
        </w:rPr>
        <w:t xml:space="preserve"> могут применяться для спектральной диагностики</w:t>
      </w:r>
      <w:r>
        <w:rPr>
          <w:rFonts w:eastAsia="Calibri"/>
          <w:lang w:eastAsia="en-US"/>
        </w:rPr>
        <w:t xml:space="preserve"> ПС ТРПТ</w:t>
      </w:r>
      <w:r w:rsidRPr="00857C22">
        <w:rPr>
          <w:rFonts w:eastAsia="Calibri"/>
          <w:lang w:eastAsia="en-US"/>
        </w:rPr>
        <w:t xml:space="preserve">. Для состояний </w:t>
      </w:r>
      <w:r w:rsidRPr="00857C22">
        <w:rPr>
          <w:rFonts w:eastAsia="Calibri"/>
          <w:position w:val="-14"/>
          <w:lang w:eastAsia="en-US"/>
        </w:rPr>
        <w:object w:dxaOrig="560" w:dyaOrig="400">
          <v:shape id="_x0000_i1068" type="#_x0000_t75" style="width:27.75pt;height:20.25pt">
            <v:imagedata r:id="rId61" o:title=""/>
          </v:shape>
        </w:object>
      </w:r>
      <w:r w:rsidRPr="00857C22">
        <w:rPr>
          <w:rFonts w:eastAsia="Calibri"/>
          <w:lang w:eastAsia="en-US"/>
        </w:rPr>
        <w:t xml:space="preserve"> и </w:t>
      </w:r>
      <w:r w:rsidRPr="00857C22">
        <w:rPr>
          <w:rFonts w:eastAsia="Calibri"/>
          <w:position w:val="-12"/>
          <w:lang w:eastAsia="en-US"/>
        </w:rPr>
        <w:object w:dxaOrig="580" w:dyaOrig="380">
          <v:shape id="_x0000_i1069" type="#_x0000_t75" style="width:29.25pt;height:18.75pt">
            <v:imagedata r:id="rId62" o:title=""/>
          </v:shape>
        </w:object>
      </w:r>
      <w:r w:rsidRPr="00857C22">
        <w:rPr>
          <w:rFonts w:eastAsia="Calibri"/>
          <w:lang w:eastAsia="en-US"/>
        </w:rPr>
        <w:t xml:space="preserve"> это заключение является справедливым в ограниченном диапазоне изменения</w:t>
      </w:r>
      <w:r>
        <w:rPr>
          <w:rFonts w:eastAsia="Calibri"/>
          <w:lang w:eastAsia="en-US"/>
        </w:rPr>
        <w:t xml:space="preserve"> </w:t>
      </w:r>
      <w:r w:rsidRPr="00857C22">
        <w:rPr>
          <w:rFonts w:eastAsia="Calibri"/>
          <w:position w:val="-6"/>
          <w:lang w:eastAsia="en-US"/>
        </w:rPr>
        <w:object w:dxaOrig="580" w:dyaOrig="279">
          <v:shape id="_x0000_i1070" type="#_x0000_t75" style="width:29.25pt;height:14.25pt">
            <v:imagedata r:id="rId63" o:title=""/>
          </v:shape>
        </w:object>
      </w:r>
      <w:r w:rsidRPr="00857C22">
        <w:rPr>
          <w:rFonts w:eastAsia="Calibri"/>
          <w:lang w:eastAsia="en-US"/>
        </w:rPr>
        <w:t xml:space="preserve">, </w:t>
      </w:r>
      <w:r w:rsidRPr="00857C22">
        <w:rPr>
          <w:rFonts w:eastAsia="Calibri"/>
          <w:position w:val="-10"/>
          <w:lang w:eastAsia="en-US"/>
        </w:rPr>
        <w:object w:dxaOrig="240" w:dyaOrig="260">
          <v:shape id="_x0000_i1071" type="#_x0000_t75" style="width:12pt;height:12.75pt">
            <v:imagedata r:id="rId64" o:title=""/>
          </v:shape>
        </w:object>
      </w:r>
      <w:r w:rsidRPr="00857C22">
        <w:rPr>
          <w:rFonts w:eastAsia="Calibri"/>
          <w:lang w:eastAsia="en-US"/>
        </w:rPr>
        <w:t xml:space="preserve"> и </w:t>
      </w:r>
      <w:r w:rsidRPr="00857C22">
        <w:rPr>
          <w:rFonts w:eastAsia="Calibri"/>
          <w:position w:val="-12"/>
          <w:lang w:eastAsia="en-US"/>
        </w:rPr>
        <w:object w:dxaOrig="320" w:dyaOrig="360">
          <v:shape id="_x0000_i1072" type="#_x0000_t75" style="width:15.75pt;height:18pt">
            <v:imagedata r:id="rId65" o:title=""/>
          </v:shape>
        </w:object>
      </w:r>
      <w:r>
        <w:rPr>
          <w:rFonts w:eastAsia="Calibri"/>
          <w:lang w:eastAsia="en-US"/>
        </w:rPr>
        <w:t>:</w:t>
      </w:r>
      <w:r w:rsidRPr="00857C22">
        <w:rPr>
          <w:rFonts w:eastAsia="Calibri"/>
          <w:lang w:eastAsia="en-US"/>
        </w:rPr>
        <w:t xml:space="preserve"> переходы </w:t>
      </w:r>
      <w:r w:rsidRPr="00857C22">
        <w:rPr>
          <w:rFonts w:eastAsia="Calibri"/>
          <w:position w:val="-16"/>
          <w:lang w:eastAsia="en-US"/>
        </w:rPr>
        <w:object w:dxaOrig="2520" w:dyaOrig="440">
          <v:shape id="_x0000_i1073" type="#_x0000_t75" style="width:126pt;height:21.75pt">
            <v:imagedata r:id="rId66" o:title=""/>
          </v:shape>
        </w:object>
      </w:r>
      <w:r w:rsidRPr="00857C22">
        <w:rPr>
          <w:rFonts w:eastAsia="Calibri"/>
          <w:lang w:eastAsia="en-US"/>
        </w:rPr>
        <w:t xml:space="preserve"> могут быть использованы для спектральной диагностики в диапазонах </w:t>
      </w:r>
      <w:r w:rsidRPr="00857C22">
        <w:rPr>
          <w:rFonts w:eastAsia="Calibri"/>
          <w:position w:val="-6"/>
          <w:lang w:eastAsia="en-US"/>
        </w:rPr>
        <w:object w:dxaOrig="780" w:dyaOrig="279">
          <v:shape id="_x0000_i1074" type="#_x0000_t75" style="width:39pt;height:14.25pt" o:ole="">
            <v:imagedata r:id="rId28" o:title=""/>
          </v:shape>
          <o:OLEObject Type="Embed" ProgID="Equation.DSMT4" ShapeID="_x0000_i1074" DrawAspect="Content" ObjectID="_1545058869" r:id="rId67"/>
        </w:object>
      </w:r>
      <w:r w:rsidRPr="00857C22">
        <w:rPr>
          <w:rFonts w:eastAsia="Calibri"/>
          <w:lang w:eastAsia="en-US"/>
        </w:rPr>
        <w:t xml:space="preserve">65 – 130 Тд, </w:t>
      </w:r>
      <w:r w:rsidRPr="00857C22">
        <w:rPr>
          <w:rFonts w:eastAsia="Calibri"/>
          <w:position w:val="-10"/>
          <w:lang w:eastAsia="en-US"/>
        </w:rPr>
        <w:object w:dxaOrig="420" w:dyaOrig="260">
          <v:shape id="_x0000_i1075" type="#_x0000_t75" style="width:21pt;height:12.75pt" o:ole="">
            <v:imagedata r:id="rId30" o:title=""/>
          </v:shape>
          <o:OLEObject Type="Embed" ProgID="Equation.DSMT4" ShapeID="_x0000_i1075" DrawAspect="Content" ObjectID="_1545058870" r:id="rId68"/>
        </w:object>
      </w:r>
      <w:r w:rsidRPr="00857C22">
        <w:rPr>
          <w:rFonts w:eastAsia="Calibri"/>
          <w:lang w:eastAsia="en-US"/>
        </w:rPr>
        <w:t>0.3</w:t>
      </w:r>
      <w:r>
        <w:rPr>
          <w:rFonts w:eastAsia="Calibri"/>
          <w:lang w:eastAsia="en-US"/>
        </w:rPr>
        <w:t> </w:t>
      </w:r>
      <w:r w:rsidRPr="00857C22">
        <w:rPr>
          <w:rFonts w:eastAsia="Calibri"/>
          <w:lang w:eastAsia="en-US"/>
        </w:rPr>
        <w:t>–</w:t>
      </w:r>
      <w:r>
        <w:rPr>
          <w:rFonts w:eastAsia="Calibri"/>
          <w:lang w:val="en-US" w:eastAsia="en-US"/>
        </w:rPr>
        <w:t> </w:t>
      </w:r>
      <w:r w:rsidRPr="00857C22">
        <w:rPr>
          <w:rFonts w:eastAsia="Calibri"/>
          <w:lang w:eastAsia="en-US"/>
        </w:rPr>
        <w:t>0.9 То</w:t>
      </w:r>
      <w:r>
        <w:rPr>
          <w:rFonts w:eastAsia="Calibri"/>
          <w:lang w:eastAsia="en-US"/>
        </w:rPr>
        <w:t>р</w:t>
      </w:r>
      <w:r w:rsidRPr="00857C22">
        <w:rPr>
          <w:rFonts w:eastAsia="Calibri"/>
          <w:lang w:eastAsia="en-US"/>
        </w:rPr>
        <w:t xml:space="preserve">р и </w:t>
      </w:r>
      <w:r w:rsidRPr="00857C22">
        <w:rPr>
          <w:rFonts w:eastAsia="Calibri"/>
          <w:position w:val="-12"/>
          <w:lang w:eastAsia="en-US"/>
        </w:rPr>
        <w:object w:dxaOrig="540" w:dyaOrig="360">
          <v:shape id="_x0000_i1076" type="#_x0000_t75" style="width:27pt;height:18pt" o:ole="">
            <v:imagedata r:id="rId32" o:title=""/>
          </v:shape>
          <o:OLEObject Type="Embed" ProgID="Equation.DSMT4" ShapeID="_x0000_i1076" DrawAspect="Content" ObjectID="_1545058871" r:id="rId69"/>
        </w:object>
      </w:r>
      <w:r w:rsidRPr="00857C22">
        <w:rPr>
          <w:rFonts w:eastAsia="Calibri"/>
          <w:lang w:eastAsia="en-US"/>
        </w:rPr>
        <w:t>4.2</w:t>
      </w:r>
      <w:r>
        <w:rPr>
          <w:rFonts w:eastAsia="Calibri"/>
          <w:lang w:val="en-US" w:eastAsia="en-US"/>
        </w:rPr>
        <w:t> </w:t>
      </w:r>
      <w:r w:rsidRPr="00857C22">
        <w:rPr>
          <w:rFonts w:eastAsia="Calibri"/>
          <w:lang w:eastAsia="en-US"/>
        </w:rPr>
        <w:t>×</w:t>
      </w:r>
      <w:r>
        <w:rPr>
          <w:rFonts w:eastAsia="Calibri"/>
          <w:lang w:val="en-US" w:eastAsia="en-US"/>
        </w:rPr>
        <w:t> </w:t>
      </w:r>
      <w:r w:rsidRPr="00857C22">
        <w:rPr>
          <w:rFonts w:eastAsia="Calibri"/>
          <w:lang w:eastAsia="en-US"/>
        </w:rPr>
        <w:t>10</w:t>
      </w:r>
      <w:r w:rsidRPr="00857C22">
        <w:rPr>
          <w:rFonts w:eastAsia="Calibri"/>
          <w:vertAlign w:val="superscript"/>
          <w:lang w:eastAsia="en-US"/>
        </w:rPr>
        <w:t>9</w:t>
      </w:r>
      <w:r>
        <w:rPr>
          <w:rFonts w:eastAsia="Calibri"/>
          <w:lang w:val="en-US" w:eastAsia="en-US"/>
        </w:rPr>
        <w:t> </w:t>
      </w:r>
      <w:r w:rsidRPr="004A0928">
        <w:rPr>
          <w:rFonts w:eastAsia="Calibri"/>
          <w:lang w:eastAsia="en-US"/>
        </w:rPr>
        <w:t>–</w:t>
      </w:r>
      <w:r>
        <w:rPr>
          <w:rFonts w:eastAsia="Calibri"/>
          <w:lang w:val="en-US" w:eastAsia="en-US"/>
        </w:rPr>
        <w:t> </w:t>
      </w:r>
      <w:r w:rsidRPr="00857C22">
        <w:rPr>
          <w:rFonts w:eastAsia="Calibri"/>
          <w:lang w:eastAsia="en-US"/>
        </w:rPr>
        <w:t>1.2</w:t>
      </w:r>
      <w:r>
        <w:rPr>
          <w:rFonts w:eastAsia="Calibri"/>
          <w:lang w:val="en-US" w:eastAsia="en-US"/>
        </w:rPr>
        <w:t> </w:t>
      </w:r>
      <w:r w:rsidRPr="00857C22">
        <w:rPr>
          <w:rFonts w:eastAsia="Calibri"/>
          <w:lang w:eastAsia="en-US"/>
        </w:rPr>
        <w:t>×</w:t>
      </w:r>
      <w:r>
        <w:rPr>
          <w:rFonts w:eastAsia="Calibri"/>
          <w:lang w:val="en-US" w:eastAsia="en-US"/>
        </w:rPr>
        <w:t> </w:t>
      </w:r>
      <w:r w:rsidRPr="00857C22">
        <w:rPr>
          <w:rFonts w:eastAsia="Calibri"/>
          <w:lang w:eastAsia="en-US"/>
        </w:rPr>
        <w:t>10</w:t>
      </w:r>
      <w:r w:rsidRPr="00857C22">
        <w:rPr>
          <w:rFonts w:eastAsia="Calibri"/>
          <w:vertAlign w:val="superscript"/>
          <w:lang w:eastAsia="en-US"/>
        </w:rPr>
        <w:t>10</w:t>
      </w:r>
      <w:r w:rsidRPr="00857C22">
        <w:rPr>
          <w:rFonts w:eastAsia="Calibri"/>
          <w:lang w:eastAsia="en-US"/>
        </w:rPr>
        <w:t xml:space="preserve"> см</w:t>
      </w:r>
      <w:r w:rsidRPr="004A0928">
        <w:rPr>
          <w:rFonts w:eastAsia="Calibri"/>
          <w:vertAlign w:val="superscript"/>
          <w:lang w:eastAsia="en-US"/>
        </w:rPr>
        <w:t>–</w:t>
      </w:r>
      <w:r w:rsidRPr="00857C22"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lang w:eastAsia="en-US"/>
        </w:rPr>
        <w:t>;</w:t>
      </w:r>
      <w:r w:rsidRPr="00857C2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Pr="00857C22">
        <w:rPr>
          <w:rFonts w:eastAsia="Calibri"/>
          <w:lang w:eastAsia="en-US"/>
        </w:rPr>
        <w:t xml:space="preserve">истема Фулхера </w:t>
      </w:r>
      <w:r w:rsidRPr="00857C22">
        <w:rPr>
          <w:rFonts w:eastAsia="Calibri"/>
          <w:position w:val="-16"/>
          <w:lang w:eastAsia="en-US"/>
        </w:rPr>
        <w:object w:dxaOrig="1920" w:dyaOrig="440">
          <v:shape id="_x0000_i1077" type="#_x0000_t75" style="width:96pt;height:21.75pt">
            <v:imagedata r:id="rId70" o:title=""/>
          </v:shape>
        </w:object>
      </w:r>
      <w:r w:rsidRPr="00857C22">
        <w:rPr>
          <w:rFonts w:eastAsia="Calibri"/>
          <w:lang w:eastAsia="en-US"/>
        </w:rPr>
        <w:t xml:space="preserve"> может применяться для спектральной диагностики разрядов при </w:t>
      </w:r>
      <w:r w:rsidRPr="00857C22">
        <w:rPr>
          <w:rFonts w:eastAsia="Calibri"/>
          <w:position w:val="-10"/>
          <w:lang w:eastAsia="en-US"/>
        </w:rPr>
        <w:object w:dxaOrig="420" w:dyaOrig="260">
          <v:shape id="_x0000_i1078" type="#_x0000_t75" style="width:21pt;height:12.75pt" o:ole="">
            <v:imagedata r:id="rId30" o:title=""/>
          </v:shape>
          <o:OLEObject Type="Embed" ProgID="Equation.DSMT4" ShapeID="_x0000_i1078" DrawAspect="Content" ObjectID="_1545058872" r:id="rId71"/>
        </w:object>
      </w:r>
      <w:r w:rsidRPr="00857C22">
        <w:rPr>
          <w:rFonts w:eastAsia="Calibri"/>
          <w:lang w:eastAsia="en-US"/>
        </w:rPr>
        <w:t>0.3 – 2.5 То</w:t>
      </w:r>
      <w:r>
        <w:rPr>
          <w:rFonts w:eastAsia="Calibri"/>
          <w:lang w:eastAsia="en-US"/>
        </w:rPr>
        <w:t>р</w:t>
      </w:r>
      <w:r w:rsidRPr="00857C22">
        <w:rPr>
          <w:rFonts w:eastAsia="Calibri"/>
          <w:lang w:eastAsia="en-US"/>
        </w:rPr>
        <w:t xml:space="preserve">р в диапазонах </w:t>
      </w:r>
      <w:r w:rsidRPr="00857C22">
        <w:rPr>
          <w:rFonts w:eastAsia="Calibri"/>
          <w:position w:val="-6"/>
          <w:lang w:eastAsia="en-US"/>
        </w:rPr>
        <w:object w:dxaOrig="780" w:dyaOrig="279">
          <v:shape id="_x0000_i1079" type="#_x0000_t75" style="width:39pt;height:14.25pt" o:ole="">
            <v:imagedata r:id="rId28" o:title=""/>
          </v:shape>
          <o:OLEObject Type="Embed" ProgID="Equation.DSMT4" ShapeID="_x0000_i1079" DrawAspect="Content" ObjectID="_1545058873" r:id="rId72"/>
        </w:object>
      </w:r>
      <w:r w:rsidRPr="00857C22">
        <w:rPr>
          <w:rFonts w:eastAsia="Calibri"/>
          <w:lang w:eastAsia="en-US"/>
        </w:rPr>
        <w:t xml:space="preserve">60 - 130 Тд и </w:t>
      </w:r>
      <w:r w:rsidRPr="00857C22">
        <w:rPr>
          <w:rFonts w:eastAsia="Calibri"/>
          <w:position w:val="-12"/>
          <w:lang w:eastAsia="en-US"/>
        </w:rPr>
        <w:object w:dxaOrig="540" w:dyaOrig="360">
          <v:shape id="_x0000_i1080" type="#_x0000_t75" style="width:27pt;height:18pt" o:ole="">
            <v:imagedata r:id="rId32" o:title=""/>
          </v:shape>
          <o:OLEObject Type="Embed" ProgID="Equation.DSMT4" ShapeID="_x0000_i1080" DrawAspect="Content" ObjectID="_1545058874" r:id="rId73"/>
        </w:object>
      </w:r>
      <w:r w:rsidRPr="00857C22">
        <w:rPr>
          <w:rFonts w:eastAsia="Calibri"/>
          <w:lang w:eastAsia="en-US"/>
        </w:rPr>
        <w:t>4.0</w:t>
      </w:r>
      <w:r>
        <w:rPr>
          <w:rFonts w:eastAsia="Calibri"/>
          <w:lang w:val="en-US" w:eastAsia="en-US"/>
        </w:rPr>
        <w:t> </w:t>
      </w:r>
      <w:r w:rsidRPr="00857C22">
        <w:rPr>
          <w:rFonts w:eastAsia="Calibri"/>
          <w:lang w:eastAsia="en-US"/>
        </w:rPr>
        <w:t>×</w:t>
      </w:r>
      <w:r>
        <w:rPr>
          <w:rFonts w:eastAsia="Calibri"/>
          <w:lang w:val="en-US" w:eastAsia="en-US"/>
        </w:rPr>
        <w:t> </w:t>
      </w:r>
      <w:r w:rsidRPr="00857C22">
        <w:rPr>
          <w:rFonts w:eastAsia="Calibri"/>
          <w:lang w:eastAsia="en-US"/>
        </w:rPr>
        <w:t>10</w:t>
      </w:r>
      <w:r w:rsidRPr="00857C22">
        <w:rPr>
          <w:rFonts w:eastAsia="Calibri"/>
          <w:vertAlign w:val="superscript"/>
          <w:lang w:eastAsia="en-US"/>
        </w:rPr>
        <w:t>9</w:t>
      </w:r>
      <w:r w:rsidRPr="00857C22">
        <w:rPr>
          <w:rFonts w:eastAsia="Calibri"/>
          <w:lang w:eastAsia="en-US"/>
        </w:rPr>
        <w:t xml:space="preserve"> </w:t>
      </w:r>
      <w:r w:rsidRPr="004A0928">
        <w:rPr>
          <w:rFonts w:eastAsia="Calibri"/>
          <w:lang w:eastAsia="en-US"/>
        </w:rPr>
        <w:t>–</w:t>
      </w:r>
      <w:r w:rsidRPr="00857C22">
        <w:rPr>
          <w:rFonts w:eastAsia="Calibri"/>
          <w:lang w:eastAsia="en-US"/>
        </w:rPr>
        <w:t xml:space="preserve"> 6.5</w:t>
      </w:r>
      <w:r w:rsidRPr="004A0928">
        <w:rPr>
          <w:rFonts w:eastAsia="Calibri"/>
          <w:lang w:eastAsia="en-US"/>
        </w:rPr>
        <w:t xml:space="preserve"> </w:t>
      </w:r>
      <w:r w:rsidRPr="00857C22">
        <w:rPr>
          <w:rFonts w:eastAsia="Calibri"/>
          <w:lang w:eastAsia="en-US"/>
        </w:rPr>
        <w:t>×</w:t>
      </w:r>
      <w:r w:rsidRPr="004A0928">
        <w:rPr>
          <w:rFonts w:eastAsia="Calibri"/>
          <w:lang w:eastAsia="en-US"/>
        </w:rPr>
        <w:t xml:space="preserve"> </w:t>
      </w:r>
      <w:r w:rsidRPr="00857C22">
        <w:rPr>
          <w:rFonts w:eastAsia="Calibri"/>
          <w:lang w:eastAsia="en-US"/>
        </w:rPr>
        <w:t>10</w:t>
      </w:r>
      <w:r w:rsidRPr="00857C22">
        <w:rPr>
          <w:rFonts w:eastAsia="Calibri"/>
          <w:vertAlign w:val="superscript"/>
          <w:lang w:eastAsia="en-US"/>
        </w:rPr>
        <w:t>10</w:t>
      </w:r>
      <w:r w:rsidRPr="00857C22">
        <w:rPr>
          <w:rFonts w:eastAsia="Calibri"/>
          <w:lang w:eastAsia="en-US"/>
        </w:rPr>
        <w:t xml:space="preserve"> см</w:t>
      </w:r>
      <w:r w:rsidRPr="004A0928">
        <w:rPr>
          <w:rFonts w:eastAsia="Calibri"/>
          <w:vertAlign w:val="superscript"/>
          <w:lang w:eastAsia="en-US"/>
        </w:rPr>
        <w:t>–</w:t>
      </w:r>
      <w:r w:rsidRPr="00857C22">
        <w:rPr>
          <w:rFonts w:eastAsia="Calibri"/>
          <w:vertAlign w:val="superscript"/>
          <w:lang w:eastAsia="en-US"/>
        </w:rPr>
        <w:t>3</w:t>
      </w:r>
      <w:r w:rsidRPr="00857C2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B0B33" w:rsidRPr="00CC28A6" w:rsidRDefault="008B0B33" w:rsidP="008B0B33">
      <w:pPr>
        <w:pStyle w:val="Zv-bodyreport"/>
        <w:rPr>
          <w:rFonts w:eastAsia="Calibri"/>
          <w:lang w:eastAsia="en-US"/>
        </w:rPr>
      </w:pPr>
      <w:r>
        <w:rPr>
          <w:rFonts w:eastAsia="Calibri"/>
          <w:lang w:eastAsia="en-US"/>
        </w:rPr>
        <w:t>М</w:t>
      </w:r>
      <w:r w:rsidRPr="00CC28A6">
        <w:rPr>
          <w:rFonts w:eastAsia="Calibri"/>
          <w:lang w:eastAsia="en-US"/>
        </w:rPr>
        <w:t xml:space="preserve">еханизм рождения и гибели молекул водорода в состояниях </w:t>
      </w:r>
      <w:r w:rsidRPr="00CC28A6">
        <w:rPr>
          <w:rFonts w:eastAsia="Calibri"/>
          <w:position w:val="-12"/>
          <w:lang w:eastAsia="en-US"/>
        </w:rPr>
        <w:object w:dxaOrig="660" w:dyaOrig="380">
          <v:shape id="_x0000_i1081" type="#_x0000_t75" style="width:33pt;height:18.75pt">
            <v:imagedata r:id="rId9" o:title=""/>
          </v:shape>
        </w:object>
      </w:r>
      <w:r w:rsidRPr="00CC28A6">
        <w:rPr>
          <w:rFonts w:eastAsia="Calibri"/>
          <w:lang w:eastAsia="en-US"/>
        </w:rPr>
        <w:t xml:space="preserve"> определяется объемными столкновительно – излучательными процессами. Для метастабильного состояния </w:t>
      </w:r>
      <w:r w:rsidRPr="00CC28A6">
        <w:rPr>
          <w:rFonts w:eastAsia="Calibri"/>
          <w:position w:val="-12"/>
          <w:lang w:eastAsia="en-US"/>
        </w:rPr>
        <w:object w:dxaOrig="540" w:dyaOrig="380">
          <v:shape id="_x0000_i1082" type="#_x0000_t75" style="width:27pt;height:18.75pt">
            <v:imagedata r:id="rId35" o:title=""/>
          </v:shape>
        </w:object>
      </w:r>
      <w:r w:rsidRPr="00CC28A6">
        <w:rPr>
          <w:rFonts w:eastAsia="Calibri"/>
          <w:lang w:eastAsia="en-US"/>
        </w:rPr>
        <w:t xml:space="preserve"> молекулы водорода необходимо, дополнительно, принимать во внимание процессы столкновительной</w:t>
      </w:r>
      <w:r>
        <w:rPr>
          <w:rFonts w:eastAsia="Calibri"/>
          <w:lang w:eastAsia="en-US"/>
        </w:rPr>
        <w:t xml:space="preserve"> дезактивации </w:t>
      </w:r>
      <w:r w:rsidRPr="00CC28A6">
        <w:rPr>
          <w:rFonts w:eastAsia="Calibri"/>
          <w:position w:val="-16"/>
          <w:lang w:eastAsia="en-US"/>
        </w:rPr>
        <w:object w:dxaOrig="1060" w:dyaOrig="440">
          <v:shape id="_x0000_i1083" type="#_x0000_t75" style="width:53.25pt;height:21.75pt" o:ole="">
            <v:imagedata r:id="rId74" o:title=""/>
          </v:shape>
          <o:OLEObject Type="Embed" ProgID="Equation.DSMT4" ShapeID="_x0000_i1083" DrawAspect="Content" ObjectID="_1545058875" r:id="rId75"/>
        </w:object>
      </w:r>
      <w:r w:rsidRPr="00CC28A6">
        <w:rPr>
          <w:rFonts w:eastAsia="Calibri"/>
          <w:lang w:eastAsia="en-US"/>
        </w:rPr>
        <w:t xml:space="preserve"> на стенках реактора. Величина времени электронной релаксации заселенностей состояний </w:t>
      </w:r>
      <w:r w:rsidRPr="00CC28A6">
        <w:rPr>
          <w:rFonts w:eastAsia="Calibri"/>
          <w:position w:val="-12"/>
          <w:lang w:eastAsia="en-US"/>
        </w:rPr>
        <w:object w:dxaOrig="660" w:dyaOrig="380">
          <v:shape id="_x0000_i1084" type="#_x0000_t75" style="width:33pt;height:18.75pt">
            <v:imagedata r:id="rId9" o:title=""/>
          </v:shape>
        </w:object>
      </w:r>
      <w:r w:rsidRPr="00CC28A6">
        <w:rPr>
          <w:rFonts w:eastAsia="Calibri"/>
          <w:lang w:eastAsia="en-US"/>
        </w:rPr>
        <w:t xml:space="preserve">, их механизмы рождения и гибели различаются при переходе от одного состояния к другому. Состав, количество и иерархия процессов, определяющих рождения и гибели состояний </w:t>
      </w:r>
      <w:r w:rsidRPr="00CC28A6">
        <w:rPr>
          <w:rFonts w:eastAsia="Calibri"/>
          <w:position w:val="-12"/>
          <w:lang w:eastAsia="en-US"/>
        </w:rPr>
        <w:object w:dxaOrig="660" w:dyaOrig="380">
          <v:shape id="_x0000_i1085" type="#_x0000_t75" style="width:33pt;height:18.75pt">
            <v:imagedata r:id="rId9" o:title=""/>
          </v:shape>
        </w:object>
      </w:r>
      <w:r w:rsidRPr="00CC28A6">
        <w:rPr>
          <w:rFonts w:eastAsia="Calibri"/>
          <w:lang w:eastAsia="en-US"/>
        </w:rPr>
        <w:t>, зависят от времени пребывания молекул водорода в разрядной зоне.</w:t>
      </w:r>
    </w:p>
    <w:p w:rsidR="008B0B33" w:rsidRPr="004A0928" w:rsidRDefault="008B0B33" w:rsidP="008B0B33">
      <w:pPr>
        <w:pStyle w:val="Zv-bodyreport"/>
        <w:rPr>
          <w:rFonts w:eastAsia="Calibri"/>
        </w:rPr>
      </w:pPr>
      <w:r w:rsidRPr="004A0928">
        <w:rPr>
          <w:rFonts w:eastAsia="Calibri"/>
        </w:rPr>
        <w:t>Работа выполнена при поддержке гранта РФФИ (№ 15-08-00070).</w:t>
      </w:r>
    </w:p>
    <w:p w:rsidR="004B72AA" w:rsidRPr="008B0B33" w:rsidRDefault="004B72AA" w:rsidP="000D76E9"/>
    <w:sectPr w:rsidR="004B72AA" w:rsidRPr="008B0B33" w:rsidSect="00F95123">
      <w:headerReference w:type="default" r:id="rId76"/>
      <w:footerReference w:type="even" r:id="rId77"/>
      <w:footerReference w:type="default" r:id="rId7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F8" w:rsidRDefault="00F943F8">
      <w:r>
        <w:separator/>
      </w:r>
    </w:p>
  </w:endnote>
  <w:endnote w:type="continuationSeparator" w:id="0">
    <w:p w:rsidR="00F943F8" w:rsidRDefault="00F9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748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F8" w:rsidRDefault="00F943F8">
      <w:r>
        <w:separator/>
      </w:r>
    </w:p>
  </w:footnote>
  <w:footnote w:type="continuationSeparator" w:id="0">
    <w:p w:rsidR="00F943F8" w:rsidRDefault="00F94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8B0B33" w:rsidRDefault="0095237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748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B0B33"/>
    <w:rsid w:val="008C7487"/>
    <w:rsid w:val="00930480"/>
    <w:rsid w:val="0094051A"/>
    <w:rsid w:val="00952377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43F8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8B0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76" Type="http://schemas.openxmlformats.org/officeDocument/2006/relationships/header" Target="header1.xml"/><Relationship Id="rId7" Type="http://schemas.openxmlformats.org/officeDocument/2006/relationships/hyperlink" Target="mailto:shakhatov@ips.ac.ru" TargetMode="External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image" Target="media/image23.wmf"/><Relationship Id="rId66" Type="http://schemas.openxmlformats.org/officeDocument/2006/relationships/image" Target="media/image31.wmf"/><Relationship Id="rId74" Type="http://schemas.openxmlformats.org/officeDocument/2006/relationships/image" Target="media/image33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footer" Target="footer1.xml"/><Relationship Id="rId8" Type="http://schemas.openxmlformats.org/officeDocument/2006/relationships/hyperlink" Target="mailto:lebedev@ips.ac.ru" TargetMode="External"/><Relationship Id="rId51" Type="http://schemas.openxmlformats.org/officeDocument/2006/relationships/image" Target="media/image20.wmf"/><Relationship Id="rId72" Type="http://schemas.openxmlformats.org/officeDocument/2006/relationships/oleObject" Target="embeddings/oleObject32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18.wmf"/><Relationship Id="rId57" Type="http://schemas.openxmlformats.org/officeDocument/2006/relationships/oleObject" Target="embeddings/oleObject2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применимости спектральных методов диагностики разрядов постоянного тока по излучению триплетных состояний молекулярного водорода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2017-01-04T15:00:00Z</dcterms:created>
  <dcterms:modified xsi:type="dcterms:W3CDTF">2017-01-04T15:11:00Z</dcterms:modified>
</cp:coreProperties>
</file>