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89" w:rsidRDefault="00972089" w:rsidP="00972089">
      <w:pPr>
        <w:pStyle w:val="Zv-Titlereport"/>
        <w:rPr>
          <w:lang w:val="en-US"/>
        </w:rPr>
      </w:pPr>
      <w:bookmarkStart w:id="0" w:name="OLE_LINK15"/>
      <w:bookmarkStart w:id="1" w:name="OLE_LINK16"/>
      <w:r>
        <w:rPr>
          <w:lang w:val="en-US"/>
        </w:rPr>
        <w:t>schwinger particle production near the singularity and the matter and antimatter allocation in the universe</w:t>
      </w:r>
      <w:bookmarkEnd w:id="0"/>
      <w:bookmarkEnd w:id="1"/>
    </w:p>
    <w:p w:rsidR="00972089" w:rsidRDefault="00972089" w:rsidP="00972089">
      <w:pPr>
        <w:pStyle w:val="Zv-Author"/>
        <w:rPr>
          <w:lang w:val="en-US"/>
        </w:rPr>
      </w:pPr>
      <w:r>
        <w:rPr>
          <w:lang w:val="en-US"/>
        </w:rPr>
        <w:t>Gordeev</w:t>
      </w:r>
      <w:r w:rsidRPr="00800B5C">
        <w:rPr>
          <w:lang w:val="en-US"/>
        </w:rPr>
        <w:t xml:space="preserve"> </w:t>
      </w:r>
      <w:r>
        <w:rPr>
          <w:lang w:val="en-US"/>
        </w:rPr>
        <w:t>A.V.</w:t>
      </w:r>
    </w:p>
    <w:p w:rsidR="00972089" w:rsidRDefault="00972089" w:rsidP="00972089">
      <w:pPr>
        <w:pStyle w:val="Zv-Organization"/>
        <w:ind w:left="490"/>
        <w:rPr>
          <w:lang w:val="en-US"/>
        </w:rPr>
      </w:pPr>
      <w:r w:rsidRPr="00390760">
        <w:rPr>
          <w:szCs w:val="24"/>
          <w:lang w:val="en-US"/>
        </w:rPr>
        <w:t>National Research Centre Kurchatov Institute, Moscow, Russia</w:t>
      </w:r>
      <w:r>
        <w:rPr>
          <w:lang w:val="en-US"/>
        </w:rPr>
        <w:t xml:space="preserve">, </w:t>
      </w:r>
      <w:hyperlink r:id="rId7" w:history="1">
        <w:r w:rsidRPr="008D0723">
          <w:rPr>
            <w:rStyle w:val="a7"/>
            <w:lang w:val="en-US"/>
          </w:rPr>
          <w:t>alexandergordeev@yandex.ru</w:t>
        </w:r>
      </w:hyperlink>
    </w:p>
    <w:p w:rsidR="00972089" w:rsidRDefault="00972089" w:rsidP="00972089">
      <w:pPr>
        <w:pStyle w:val="Zv-bodyreport"/>
        <w:rPr>
          <w:lang w:val="en-US"/>
        </w:rPr>
      </w:pPr>
      <w:r>
        <w:rPr>
          <w:lang w:val="en-US"/>
        </w:rPr>
        <w:t xml:space="preserve">In the papers [1, 2] are presented the different proposals for the presence of the antimatter in the Universe. Below will be considered the matter production by the Planck-particle gravitation vacuum because of </w:t>
      </w:r>
      <w:r w:rsidRPr="00FE56EC">
        <w:rPr>
          <w:position w:val="-12"/>
          <w:lang w:val="en-US"/>
        </w:rPr>
        <w:object w:dxaOrig="2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>
            <v:imagedata r:id="rId8" o:title=""/>
          </v:shape>
          <o:OLEObject Type="Embed" ProgID="Equation.3" ShapeID="_x0000_i1025" DrawAspect="Content" ObjectID="_1546003003" r:id="rId9"/>
        </w:object>
      </w:r>
      <w:r>
        <w:rPr>
          <w:lang w:val="en-US"/>
        </w:rPr>
        <w:t xml:space="preserve">, where  </w:t>
      </w:r>
      <w:r w:rsidRPr="00FE56EC">
        <w:rPr>
          <w:position w:val="-12"/>
          <w:lang w:val="en-US"/>
        </w:rPr>
        <w:object w:dxaOrig="1400" w:dyaOrig="400">
          <v:shape id="_x0000_i1026" type="#_x0000_t75" style="width:69.75pt;height:20.25pt" o:ole="">
            <v:imagedata r:id="rId10" o:title=""/>
          </v:shape>
          <o:OLEObject Type="Embed" ProgID="Equation.3" ShapeID="_x0000_i1026" DrawAspect="Content" ObjectID="_1546003004" r:id="rId11"/>
        </w:object>
      </w:r>
      <w:r>
        <w:rPr>
          <w:lang w:val="en-US"/>
        </w:rPr>
        <w:t xml:space="preserve">,  </w:t>
      </w:r>
      <w:r w:rsidRPr="00CC530D">
        <w:rPr>
          <w:position w:val="-12"/>
          <w:lang w:val="en-US"/>
        </w:rPr>
        <w:object w:dxaOrig="1400" w:dyaOrig="440">
          <v:shape id="_x0000_i1027" type="#_x0000_t75" style="width:69.75pt;height:21.75pt" o:ole="">
            <v:imagedata r:id="rId12" o:title=""/>
          </v:shape>
          <o:OLEObject Type="Embed" ProgID="Equation.3" ShapeID="_x0000_i1027" DrawAspect="Content" ObjectID="_1546003005" r:id="rId13"/>
        </w:object>
      </w:r>
      <w:r>
        <w:rPr>
          <w:lang w:val="en-US"/>
        </w:rPr>
        <w:t xml:space="preserve">. In the  consequence of the Planck  particle decay  into the charged particles with the  energy </w:t>
      </w:r>
      <w:r w:rsidRPr="00CC530D">
        <w:rPr>
          <w:position w:val="-12"/>
          <w:lang w:val="en-US"/>
        </w:rPr>
        <w:object w:dxaOrig="1480" w:dyaOrig="380">
          <v:shape id="_x0000_i1028" type="#_x0000_t75" style="width:74.25pt;height:18.75pt" o:ole="">
            <v:imagedata r:id="rId14" o:title=""/>
          </v:shape>
          <o:OLEObject Type="Embed" ProgID="Equation.3" ShapeID="_x0000_i1028" DrawAspect="Content" ObjectID="_1546003006" r:id="rId15"/>
        </w:object>
      </w:r>
      <w:r>
        <w:rPr>
          <w:lang w:val="en-US"/>
        </w:rPr>
        <w:t xml:space="preserve">arises the  zero-energy singularity structure of size </w:t>
      </w:r>
      <w:r w:rsidRPr="00336E96">
        <w:rPr>
          <w:position w:val="-12"/>
          <w:lang w:val="en-US"/>
        </w:rPr>
        <w:object w:dxaOrig="1460" w:dyaOrig="440">
          <v:shape id="_x0000_i1029" type="#_x0000_t75" style="width:72.75pt;height:21.75pt" o:ole="">
            <v:imagedata r:id="rId16" o:title=""/>
          </v:shape>
          <o:OLEObject Type="Embed" ProgID="Equation.3" ShapeID="_x0000_i1029" DrawAspect="Content" ObjectID="_1546003007" r:id="rId17"/>
        </w:object>
      </w:r>
    </w:p>
    <w:p w:rsidR="00972089" w:rsidRDefault="00972089" w:rsidP="00972089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7979A1">
        <w:rPr>
          <w:position w:val="-24"/>
          <w:lang w:val="en-US"/>
        </w:rPr>
        <w:object w:dxaOrig="1380" w:dyaOrig="660">
          <v:shape id="_x0000_i1030" type="#_x0000_t75" style="width:69pt;height:33pt" o:ole="">
            <v:imagedata r:id="rId18" o:title=""/>
          </v:shape>
          <o:OLEObject Type="Embed" ProgID="Equation.3" ShapeID="_x0000_i1030" DrawAspect="Content" ObjectID="_1546003008" r:id="rId19"/>
        </w:object>
      </w:r>
      <w:r>
        <w:rPr>
          <w:lang w:val="en-US"/>
        </w:rPr>
        <w:t xml:space="preserve">,  </w:t>
      </w:r>
      <w:r w:rsidRPr="00C0417F">
        <w:rPr>
          <w:position w:val="-24"/>
          <w:lang w:val="en-US"/>
        </w:rPr>
        <w:object w:dxaOrig="940" w:dyaOrig="620">
          <v:shape id="_x0000_i1031" type="#_x0000_t75" style="width:47.25pt;height:30.75pt" o:ole="">
            <v:imagedata r:id="rId20" o:title=""/>
          </v:shape>
          <o:OLEObject Type="Embed" ProgID="Equation.3" ShapeID="_x0000_i1031" DrawAspect="Content" ObjectID="_1546003009" r:id="rId21"/>
        </w:object>
      </w:r>
      <w:r>
        <w:rPr>
          <w:lang w:val="en-US"/>
        </w:rPr>
        <w:t>.</w:t>
      </w:r>
      <w:r>
        <w:rPr>
          <w:lang w:val="en-US"/>
        </w:rPr>
        <w:tab/>
        <w:t>(1)</w:t>
      </w:r>
    </w:p>
    <w:p w:rsidR="00972089" w:rsidRDefault="00972089" w:rsidP="00972089">
      <w:pPr>
        <w:pStyle w:val="Zv-bodyreportcont"/>
        <w:rPr>
          <w:lang w:val="en-US"/>
        </w:rPr>
      </w:pPr>
      <w:r>
        <w:rPr>
          <w:lang w:val="en-US"/>
        </w:rPr>
        <w:t xml:space="preserve">Here the energy </w:t>
      </w:r>
      <w:r w:rsidRPr="007979A1">
        <w:rPr>
          <w:position w:val="-6"/>
          <w:lang w:val="en-US"/>
        </w:rPr>
        <w:object w:dxaOrig="180" w:dyaOrig="220">
          <v:shape id="_x0000_i1032" type="#_x0000_t75" style="width:9pt;height:11.25pt" o:ole="">
            <v:imagedata r:id="rId22" o:title=""/>
          </v:shape>
          <o:OLEObject Type="Embed" ProgID="Equation.3" ShapeID="_x0000_i1032" DrawAspect="Content" ObjectID="_1546003010" r:id="rId23"/>
        </w:object>
      </w:r>
      <w:r>
        <w:rPr>
          <w:lang w:val="en-US"/>
        </w:rPr>
        <w:t xml:space="preserve"> is determined by the electromagnetic field </w:t>
      </w:r>
      <w:r w:rsidRPr="007979A1">
        <w:rPr>
          <w:position w:val="-18"/>
          <w:lang w:val="en-US"/>
        </w:rPr>
        <w:object w:dxaOrig="2400" w:dyaOrig="480">
          <v:shape id="_x0000_i1033" type="#_x0000_t75" style="width:120pt;height:24pt" o:ole="">
            <v:imagedata r:id="rId24" o:title=""/>
          </v:shape>
          <o:OLEObject Type="Embed" ProgID="Equation.3" ShapeID="_x0000_i1033" DrawAspect="Content" ObjectID="_1546003011" r:id="rId25"/>
        </w:object>
      </w:r>
      <w:r>
        <w:rPr>
          <w:lang w:val="en-US"/>
        </w:rPr>
        <w:t xml:space="preserve">, </w:t>
      </w:r>
      <w:r w:rsidRPr="002579F7">
        <w:rPr>
          <w:position w:val="-12"/>
          <w:lang w:val="en-US"/>
        </w:rPr>
        <w:object w:dxaOrig="1640" w:dyaOrig="380">
          <v:shape id="_x0000_i1034" type="#_x0000_t75" style="width:81.75pt;height:18.75pt" o:ole="">
            <v:imagedata r:id="rId26" o:title=""/>
          </v:shape>
          <o:OLEObject Type="Embed" ProgID="Equation.3" ShapeID="_x0000_i1034" DrawAspect="Content" ObjectID="_1546003012" r:id="rId27"/>
        </w:object>
      </w:r>
      <w:r>
        <w:rPr>
          <w:lang w:val="en-US"/>
        </w:rPr>
        <w:t xml:space="preserve">,  </w:t>
      </w:r>
      <w:r w:rsidRPr="002579F7">
        <w:rPr>
          <w:position w:val="-12"/>
          <w:lang w:val="en-US"/>
        </w:rPr>
        <w:object w:dxaOrig="1420" w:dyaOrig="380">
          <v:shape id="_x0000_i1035" type="#_x0000_t75" style="width:71.25pt;height:18.75pt" o:ole="">
            <v:imagedata r:id="rId28" o:title=""/>
          </v:shape>
          <o:OLEObject Type="Embed" ProgID="Equation.3" ShapeID="_x0000_i1035" DrawAspect="Content" ObjectID="_1546003013" r:id="rId29"/>
        </w:object>
      </w:r>
      <w:r>
        <w:rPr>
          <w:lang w:val="en-US"/>
        </w:rPr>
        <w:t xml:space="preserve">. In view of the singularity isotropy only the radial energy flux is possible </w:t>
      </w:r>
      <w:r w:rsidRPr="00CA00A9">
        <w:rPr>
          <w:position w:val="-12"/>
          <w:lang w:val="en-US"/>
        </w:rPr>
        <w:object w:dxaOrig="2160" w:dyaOrig="380">
          <v:shape id="_x0000_i1036" type="#_x0000_t75" style="width:108pt;height:18.75pt" o:ole="">
            <v:imagedata r:id="rId30" o:title=""/>
          </v:shape>
          <o:OLEObject Type="Embed" ProgID="Equation.3" ShapeID="_x0000_i1036" DrawAspect="Content" ObjectID="_1546003014" r:id="rId31"/>
        </w:object>
      </w:r>
      <w:r>
        <w:rPr>
          <w:lang w:val="en-US"/>
        </w:rPr>
        <w:t xml:space="preserve">, and the invariant values  are equal to zero: </w:t>
      </w:r>
      <w:r w:rsidRPr="00CA00A9">
        <w:rPr>
          <w:position w:val="-10"/>
          <w:lang w:val="en-US"/>
        </w:rPr>
        <w:object w:dxaOrig="1060" w:dyaOrig="380">
          <v:shape id="_x0000_i1037" type="#_x0000_t75" style="width:53.25pt;height:18.75pt" o:ole="">
            <v:imagedata r:id="rId32" o:title=""/>
          </v:shape>
          <o:OLEObject Type="Embed" ProgID="Equation.3" ShapeID="_x0000_i1037" DrawAspect="Content" ObjectID="_1546003015" r:id="rId33"/>
        </w:object>
      </w:r>
      <w:r>
        <w:rPr>
          <w:lang w:val="en-US"/>
        </w:rPr>
        <w:t xml:space="preserve">,  </w:t>
      </w:r>
      <w:r w:rsidRPr="00CA00A9">
        <w:rPr>
          <w:position w:val="-10"/>
          <w:lang w:val="en-US"/>
        </w:rPr>
        <w:object w:dxaOrig="1960" w:dyaOrig="380">
          <v:shape id="_x0000_i1038" type="#_x0000_t75" style="width:98.25pt;height:18.75pt" o:ole="">
            <v:imagedata r:id="rId34" o:title=""/>
          </v:shape>
          <o:OLEObject Type="Embed" ProgID="Equation.3" ShapeID="_x0000_i1038" DrawAspect="Content" ObjectID="_1546003016" r:id="rId35"/>
        </w:object>
      </w:r>
      <w:r>
        <w:rPr>
          <w:lang w:val="en-US"/>
        </w:rPr>
        <w:t xml:space="preserve"> for </w:t>
      </w:r>
      <w:r w:rsidRPr="00C0417F">
        <w:rPr>
          <w:position w:val="-10"/>
          <w:lang w:val="en-US"/>
        </w:rPr>
        <w:object w:dxaOrig="1260" w:dyaOrig="340">
          <v:shape id="_x0000_i1039" type="#_x0000_t75" style="width:63pt;height:17.25pt" o:ole="">
            <v:imagedata r:id="rId36" o:title=""/>
          </v:shape>
          <o:OLEObject Type="Embed" ProgID="Equation.3" ShapeID="_x0000_i1039" DrawAspect="Content" ObjectID="_1546003017" r:id="rId37"/>
        </w:object>
      </w:r>
      <w:r>
        <w:rPr>
          <w:lang w:val="en-US"/>
        </w:rPr>
        <w:t>.  Therefore the particle production inside the singularity is highly forbidden. The following evolution of the</w:t>
      </w:r>
      <w:r w:rsidRPr="00BA0345">
        <w:rPr>
          <w:lang w:val="en-US"/>
        </w:rPr>
        <w:t xml:space="preserve"> </w:t>
      </w:r>
      <w:r>
        <w:rPr>
          <w:lang w:val="en-US"/>
        </w:rPr>
        <w:t xml:space="preserve">Universe is only possible as a result of the charged particles </w:t>
      </w:r>
      <w:r w:rsidRPr="00CC40D6">
        <w:rPr>
          <w:position w:val="-12"/>
          <w:lang w:val="en-US"/>
        </w:rPr>
        <w:object w:dxaOrig="400" w:dyaOrig="380">
          <v:shape id="_x0000_i1040" type="#_x0000_t75" style="width:20.25pt;height:18.75pt" o:ole="">
            <v:imagedata r:id="rId38" o:title=""/>
          </v:shape>
          <o:OLEObject Type="Embed" ProgID="Equation.3" ShapeID="_x0000_i1040" DrawAspect="Content" ObjectID="_1546003018" r:id="rId39"/>
        </w:object>
      </w:r>
      <w:r>
        <w:rPr>
          <w:lang w:val="en-US"/>
        </w:rPr>
        <w:t xml:space="preserve"> production outside the singularity by the account of the Poisson equation under  </w:t>
      </w:r>
      <w:r w:rsidRPr="0088168F">
        <w:rPr>
          <w:position w:val="-10"/>
          <w:lang w:val="en-US"/>
        </w:rPr>
        <w:object w:dxaOrig="740" w:dyaOrig="340">
          <v:shape id="_x0000_i1041" type="#_x0000_t75" style="width:36.75pt;height:17.25pt" o:ole="">
            <v:imagedata r:id="rId40" o:title=""/>
          </v:shape>
          <o:OLEObject Type="Embed" ProgID="Equation.3" ShapeID="_x0000_i1041" DrawAspect="Content" ObjectID="_1546003019" r:id="rId41"/>
        </w:object>
      </w:r>
      <w:r>
        <w:rPr>
          <w:lang w:val="en-US"/>
        </w:rPr>
        <w:t xml:space="preserve">. From the fact that </w:t>
      </w:r>
      <w:r w:rsidRPr="002B7684">
        <w:rPr>
          <w:position w:val="-18"/>
          <w:lang w:val="en-US"/>
        </w:rPr>
        <w:object w:dxaOrig="760" w:dyaOrig="480">
          <v:shape id="_x0000_i1042" type="#_x0000_t75" style="width:38.25pt;height:24pt" o:ole="">
            <v:imagedata r:id="rId42" o:title=""/>
          </v:shape>
          <o:OLEObject Type="Embed" ProgID="Equation.3" ShapeID="_x0000_i1042" DrawAspect="Content" ObjectID="_1546003020" r:id="rId43"/>
        </w:object>
      </w:r>
      <w:r>
        <w:rPr>
          <w:lang w:val="en-US"/>
        </w:rPr>
        <w:t xml:space="preserve">&lt;&lt; </w:t>
      </w:r>
      <w:r w:rsidRPr="002B7684">
        <w:rPr>
          <w:position w:val="-10"/>
          <w:lang w:val="en-US"/>
        </w:rPr>
        <w:object w:dxaOrig="1579" w:dyaOrig="380">
          <v:shape id="_x0000_i1043" type="#_x0000_t75" style="width:78.75pt;height:18.75pt" o:ole="">
            <v:imagedata r:id="rId44" o:title=""/>
          </v:shape>
          <o:OLEObject Type="Embed" ProgID="Equation.3" ShapeID="_x0000_i1043" DrawAspect="Content" ObjectID="_1546003021" r:id="rId45"/>
        </w:object>
      </w:r>
      <w:r>
        <w:rPr>
          <w:lang w:val="en-US"/>
        </w:rPr>
        <w:t xml:space="preserve"> one can obtain in contrast to [3] the following equation for  </w:t>
      </w:r>
      <w:r w:rsidRPr="00694E66">
        <w:rPr>
          <w:position w:val="-14"/>
          <w:lang w:val="en-US"/>
        </w:rPr>
        <w:object w:dxaOrig="1640" w:dyaOrig="420">
          <v:shape id="_x0000_i1044" type="#_x0000_t75" style="width:81.75pt;height:21pt" o:ole="">
            <v:imagedata r:id="rId46" o:title=""/>
          </v:shape>
          <o:OLEObject Type="Embed" ProgID="Equation.3" ShapeID="_x0000_i1044" DrawAspect="Content" ObjectID="_1546003022" r:id="rId47"/>
        </w:object>
      </w:r>
    </w:p>
    <w:p w:rsidR="00972089" w:rsidRDefault="00972089" w:rsidP="00972089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694E66">
        <w:rPr>
          <w:position w:val="-24"/>
          <w:lang w:val="en-US"/>
        </w:rPr>
        <w:object w:dxaOrig="1400" w:dyaOrig="660">
          <v:shape id="_x0000_i1045" type="#_x0000_t75" style="width:69.75pt;height:33pt" o:ole="">
            <v:imagedata r:id="rId48" o:title=""/>
          </v:shape>
          <o:OLEObject Type="Embed" ProgID="Equation.3" ShapeID="_x0000_i1045" DrawAspect="Content" ObjectID="_1546003023" r:id="rId49"/>
        </w:object>
      </w:r>
      <w:r>
        <w:rPr>
          <w:lang w:val="en-US"/>
        </w:rPr>
        <w:t xml:space="preserve">,   </w:t>
      </w:r>
      <w:r w:rsidRPr="006B61B4">
        <w:rPr>
          <w:position w:val="-30"/>
          <w:lang w:val="en-US"/>
        </w:rPr>
        <w:object w:dxaOrig="660" w:dyaOrig="680">
          <v:shape id="_x0000_i1046" type="#_x0000_t75" style="width:33pt;height:33.75pt" o:ole="">
            <v:imagedata r:id="rId50" o:title=""/>
          </v:shape>
          <o:OLEObject Type="Embed" ProgID="Equation.3" ShapeID="_x0000_i1046" DrawAspect="Content" ObjectID="_1546003024" r:id="rId51"/>
        </w:object>
      </w:r>
      <w:r>
        <w:rPr>
          <w:lang w:val="en-US"/>
        </w:rPr>
        <w:t xml:space="preserve">,  </w:t>
      </w:r>
      <w:r w:rsidRPr="006B61B4">
        <w:rPr>
          <w:position w:val="-30"/>
          <w:lang w:val="en-US"/>
        </w:rPr>
        <w:object w:dxaOrig="660" w:dyaOrig="680">
          <v:shape id="_x0000_i1047" type="#_x0000_t75" style="width:33pt;height:33.75pt" o:ole="">
            <v:imagedata r:id="rId52" o:title=""/>
          </v:shape>
          <o:OLEObject Type="Embed" ProgID="Equation.3" ShapeID="_x0000_i1047" DrawAspect="Content" ObjectID="_1546003025" r:id="rId53"/>
        </w:object>
      </w:r>
      <w:r>
        <w:rPr>
          <w:lang w:val="en-US"/>
        </w:rPr>
        <w:t>,</w:t>
      </w:r>
      <w:r>
        <w:rPr>
          <w:lang w:val="en-US"/>
        </w:rPr>
        <w:tab/>
        <w:t>(2)</w:t>
      </w:r>
    </w:p>
    <w:p w:rsidR="00972089" w:rsidRDefault="00972089" w:rsidP="00972089">
      <w:pPr>
        <w:pStyle w:val="Zv-bodyreportcont"/>
        <w:rPr>
          <w:lang w:val="en-US"/>
        </w:rPr>
      </w:pPr>
      <w:r>
        <w:rPr>
          <w:lang w:val="en-US"/>
        </w:rPr>
        <w:t>that is the consequence  of the symmetry break due to the electric quasi</w:t>
      </w:r>
      <w:r w:rsidRPr="00BA0345">
        <w:rPr>
          <w:lang w:val="en-US"/>
        </w:rPr>
        <w:t>-</w:t>
      </w:r>
      <w:r>
        <w:rPr>
          <w:lang w:val="en-US"/>
        </w:rPr>
        <w:t>neutrality  violation.</w:t>
      </w:r>
    </w:p>
    <w:p w:rsidR="00972089" w:rsidRDefault="00972089" w:rsidP="00972089">
      <w:pPr>
        <w:pStyle w:val="Zv-bodyreport"/>
        <w:rPr>
          <w:lang w:val="en-US"/>
        </w:rPr>
      </w:pPr>
      <w:r>
        <w:rPr>
          <w:lang w:val="en-US"/>
        </w:rPr>
        <w:t>The electric quasi</w:t>
      </w:r>
      <w:r w:rsidRPr="00BA0345">
        <w:rPr>
          <w:lang w:val="en-US"/>
        </w:rPr>
        <w:t>-</w:t>
      </w:r>
      <w:r>
        <w:rPr>
          <w:lang w:val="en-US"/>
        </w:rPr>
        <w:t xml:space="preserve">neutrality violation on the singularity size </w:t>
      </w:r>
      <w:r w:rsidRPr="0055703C">
        <w:rPr>
          <w:position w:val="-12"/>
          <w:lang w:val="en-US"/>
        </w:rPr>
        <w:object w:dxaOrig="1900" w:dyaOrig="360">
          <v:shape id="_x0000_i1048" type="#_x0000_t75" style="width:95.25pt;height:18pt" o:ole="">
            <v:imagedata r:id="rId54" o:title=""/>
          </v:shape>
          <o:OLEObject Type="Embed" ProgID="Equation.3" ShapeID="_x0000_i1048" DrawAspect="Content" ObjectID="_1546003026" r:id="rId55"/>
        </w:object>
      </w:r>
      <w:r>
        <w:rPr>
          <w:lang w:val="en-US"/>
        </w:rPr>
        <w:t xml:space="preserve"> allows to obtain the evaluation of the particle energy fraction relative to the electromagnetic energy</w:t>
      </w:r>
    </w:p>
    <w:p w:rsidR="00972089" w:rsidRDefault="00972089" w:rsidP="00972089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0E7601">
        <w:rPr>
          <w:position w:val="-26"/>
          <w:lang w:val="en-US"/>
        </w:rPr>
        <w:object w:dxaOrig="1920" w:dyaOrig="720">
          <v:shape id="_x0000_i1049" type="#_x0000_t75" style="width:96pt;height:36pt" o:ole="">
            <v:imagedata r:id="rId56" o:title=""/>
          </v:shape>
          <o:OLEObject Type="Embed" ProgID="Equation.3" ShapeID="_x0000_i1049" DrawAspect="Content" ObjectID="_1546003027" r:id="rId57"/>
        </w:object>
      </w:r>
      <w:r>
        <w:rPr>
          <w:lang w:val="en-US"/>
        </w:rPr>
        <w:t>.</w:t>
      </w:r>
      <w:r>
        <w:rPr>
          <w:lang w:val="en-US"/>
        </w:rPr>
        <w:tab/>
        <w:t>(3)</w:t>
      </w:r>
    </w:p>
    <w:p w:rsidR="00972089" w:rsidRDefault="00972089" w:rsidP="00972089">
      <w:pPr>
        <w:pStyle w:val="Zv-bodyreportcont"/>
        <w:rPr>
          <w:lang w:val="en-US"/>
        </w:rPr>
      </w:pPr>
      <w:r>
        <w:rPr>
          <w:lang w:val="en-US"/>
        </w:rPr>
        <w:t xml:space="preserve">In this case the separation of the matter and antimatter is supported by the equation </w:t>
      </w:r>
    </w:p>
    <w:p w:rsidR="00972089" w:rsidRDefault="00972089" w:rsidP="00972089">
      <w:pPr>
        <w:pStyle w:val="Zv-formula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4E1619">
        <w:rPr>
          <w:position w:val="-34"/>
          <w:lang w:val="en-US"/>
        </w:rPr>
        <w:object w:dxaOrig="1700" w:dyaOrig="800">
          <v:shape id="_x0000_i1050" type="#_x0000_t75" style="width:84.75pt;height:39.75pt" o:ole="">
            <v:imagedata r:id="rId58" o:title=""/>
          </v:shape>
          <o:OLEObject Type="Embed" ProgID="Equation.3" ShapeID="_x0000_i1050" DrawAspect="Content" ObjectID="_1546003028" r:id="rId59"/>
        </w:object>
      </w:r>
      <w:r>
        <w:rPr>
          <w:lang w:val="en-US"/>
        </w:rPr>
        <w:t>.</w:t>
      </w:r>
      <w:r>
        <w:rPr>
          <w:lang w:val="en-US"/>
        </w:rPr>
        <w:tab/>
        <w:t>(4)</w:t>
      </w:r>
    </w:p>
    <w:p w:rsidR="00972089" w:rsidRDefault="00972089" w:rsidP="00972089">
      <w:pPr>
        <w:pStyle w:val="Zv-bodyreport"/>
        <w:rPr>
          <w:lang w:val="en-US"/>
        </w:rPr>
      </w:pPr>
      <w:r>
        <w:rPr>
          <w:lang w:val="en-US"/>
        </w:rPr>
        <w:t>It</w:t>
      </w:r>
      <w:r w:rsidRPr="00BA0345">
        <w:rPr>
          <w:lang w:val="en-US"/>
        </w:rPr>
        <w:t xml:space="preserve"> </w:t>
      </w:r>
      <w:r>
        <w:rPr>
          <w:lang w:val="en-US"/>
        </w:rPr>
        <w:t xml:space="preserve">is supposed in the paper [2] that the particles and antiparticles are the neutral ones,  so their  separation  is not  possible.  However, for the charged particles  </w:t>
      </w:r>
      <w:r w:rsidRPr="006450D2">
        <w:rPr>
          <w:position w:val="-12"/>
          <w:lang w:val="en-US"/>
        </w:rPr>
        <w:object w:dxaOrig="400" w:dyaOrig="380">
          <v:shape id="_x0000_i1051" type="#_x0000_t75" style="width:20.25pt;height:18.75pt" o:ole="">
            <v:imagedata r:id="rId60" o:title=""/>
          </v:shape>
          <o:OLEObject Type="Embed" ProgID="Equation.3" ShapeID="_x0000_i1051" DrawAspect="Content" ObjectID="_1546003029" r:id="rId61"/>
        </w:object>
      </w:r>
      <w:r>
        <w:rPr>
          <w:lang w:val="en-US"/>
        </w:rPr>
        <w:t xml:space="preserve"> it is not true [4], what allows the scenario of the paper [1].</w:t>
      </w:r>
    </w:p>
    <w:p w:rsidR="00972089" w:rsidRDefault="00972089" w:rsidP="00972089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972089" w:rsidRDefault="00972089" w:rsidP="00972089">
      <w:pPr>
        <w:pStyle w:val="Zv-References-en"/>
      </w:pPr>
      <w:r>
        <w:t>Alfven H.//Reviews of Modern Physics, 1965, v. 37, N 4, p. 652.</w:t>
      </w:r>
    </w:p>
    <w:p w:rsidR="00972089" w:rsidRDefault="00972089" w:rsidP="00972089">
      <w:pPr>
        <w:pStyle w:val="Zv-References-en"/>
      </w:pPr>
      <w:r>
        <w:t>Sakharov A.D.//Pis’ma Zh Eksp Teor Fiz, 1967, v.5, p. 32.</w:t>
      </w:r>
    </w:p>
    <w:p w:rsidR="00972089" w:rsidRDefault="00972089" w:rsidP="00972089">
      <w:pPr>
        <w:pStyle w:val="Zv-References-en"/>
      </w:pPr>
      <w:r>
        <w:t>Gordeev A.V.//43-th International Zvenigorod Conference on Plasma Physics and on Controlled Fusion, Zvenigorod,  8-12  February, 2016.  Book of Abstract, p.227.</w:t>
      </w:r>
    </w:p>
    <w:p w:rsidR="00972089" w:rsidRPr="00354D4E" w:rsidRDefault="00972089" w:rsidP="00972089">
      <w:pPr>
        <w:pStyle w:val="Zv-References-en"/>
      </w:pPr>
      <w:r>
        <w:t>Steigman  J.// Nature, 1969,  v.224,  p. 477.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62"/>
      <w:footerReference w:type="even" r:id="rId63"/>
      <w:footerReference w:type="default" r:id="rId6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B24" w:rsidRDefault="00BF6B24">
      <w:r>
        <w:separator/>
      </w:r>
    </w:p>
  </w:endnote>
  <w:endnote w:type="continuationSeparator" w:id="0">
    <w:p w:rsidR="00BF6B24" w:rsidRDefault="00BF6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B7A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B7A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208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B24" w:rsidRDefault="00BF6B24">
      <w:r>
        <w:separator/>
      </w:r>
    </w:p>
  </w:footnote>
  <w:footnote w:type="continuationSeparator" w:id="0">
    <w:p w:rsidR="00BF6B24" w:rsidRDefault="00BF6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CB7A7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6B24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972089"/>
    <w:rsid w:val="00B622ED"/>
    <w:rsid w:val="00B9584E"/>
    <w:rsid w:val="00BF6B24"/>
    <w:rsid w:val="00C103CD"/>
    <w:rsid w:val="00C232A0"/>
    <w:rsid w:val="00C5751F"/>
    <w:rsid w:val="00CB7A7E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link w:val="Zv-formula0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72089"/>
    <w:rPr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rsid w:val="00972089"/>
    <w:rPr>
      <w:sz w:val="24"/>
      <w:szCs w:val="24"/>
    </w:rPr>
  </w:style>
  <w:style w:type="character" w:customStyle="1" w:styleId="Zv-formula0">
    <w:name w:val="Zv-formula Знак"/>
    <w:basedOn w:val="Zv-bodyreport0"/>
    <w:link w:val="Zv-formula"/>
    <w:rsid w:val="00972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footer" Target="footer1.xml"/><Relationship Id="rId7" Type="http://schemas.openxmlformats.org/officeDocument/2006/relationships/hyperlink" Target="mailto:alexandergordeev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schwinger particle production near the singularity and the matter and antimatter allocation in the universe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2017-01-15T13:29:00Z</dcterms:created>
  <dcterms:modified xsi:type="dcterms:W3CDTF">2017-01-15T13:30:00Z</dcterms:modified>
</cp:coreProperties>
</file>