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A2" w:rsidRPr="000976E8" w:rsidRDefault="007063A2" w:rsidP="007063A2">
      <w:pPr>
        <w:pStyle w:val="Zv-bodyreport"/>
        <w:spacing w:after="120"/>
        <w:jc w:val="center"/>
        <w:rPr>
          <w:b/>
          <w:lang w:val="en-US"/>
        </w:rPr>
      </w:pPr>
      <w:bookmarkStart w:id="0" w:name="OLE_LINK11"/>
      <w:bookmarkStart w:id="1" w:name="OLE_LINK12"/>
      <w:r w:rsidRPr="000976E8">
        <w:rPr>
          <w:b/>
          <w:lang w:val="en-US"/>
        </w:rPr>
        <w:t xml:space="preserve">ANALYSIS OF THE APPLICABILITY OF SPECTROSCOPY DIAGNOSTICS OF DC </w:t>
      </w:r>
      <w:r>
        <w:rPr>
          <w:b/>
          <w:lang w:val="en-US"/>
        </w:rPr>
        <w:t>GLOW DISCHARGES TO STUDIES</w:t>
      </w:r>
      <w:r w:rsidRPr="000976E8">
        <w:rPr>
          <w:b/>
          <w:lang w:val="en-US"/>
        </w:rPr>
        <w:t xml:space="preserve"> THE TRIPLET STATES OF MOLECULAR HYDROGEN</w:t>
      </w:r>
      <w:bookmarkEnd w:id="0"/>
      <w:bookmarkEnd w:id="1"/>
    </w:p>
    <w:p w:rsidR="007063A2" w:rsidRDefault="007063A2" w:rsidP="007063A2">
      <w:pPr>
        <w:pStyle w:val="Zv-Author"/>
        <w:rPr>
          <w:lang w:val="en-US"/>
        </w:rPr>
      </w:pPr>
      <w:r>
        <w:rPr>
          <w:lang w:val="en-US"/>
        </w:rPr>
        <w:t>Shakhatov</w:t>
      </w:r>
      <w:r w:rsidRPr="004A0928">
        <w:rPr>
          <w:lang w:val="en-US"/>
        </w:rPr>
        <w:t xml:space="preserve"> </w:t>
      </w:r>
      <w:r>
        <w:rPr>
          <w:lang w:val="en-US"/>
        </w:rPr>
        <w:t>V.A. and Lebedev</w:t>
      </w:r>
      <w:r w:rsidRPr="004A0928">
        <w:rPr>
          <w:lang w:val="en-US"/>
        </w:rPr>
        <w:t xml:space="preserve"> </w:t>
      </w:r>
      <w:r>
        <w:rPr>
          <w:lang w:val="en-US"/>
        </w:rPr>
        <w:t>Yu.A.</w:t>
      </w:r>
    </w:p>
    <w:p w:rsidR="007063A2" w:rsidRPr="004A0928" w:rsidRDefault="007063A2" w:rsidP="007063A2">
      <w:pPr>
        <w:pStyle w:val="Zv-Organization"/>
        <w:rPr>
          <w:lang w:val="en-US"/>
        </w:rPr>
      </w:pPr>
      <w:r w:rsidRPr="00DF48A3">
        <w:rPr>
          <w:lang w:val="en-US"/>
        </w:rPr>
        <w:t>Topchiev Insti</w:t>
      </w:r>
      <w:r>
        <w:rPr>
          <w:lang w:val="en-US"/>
        </w:rPr>
        <w:t>tute of Petrochemical Synthesis, Russian Academy of Sciences</w:t>
      </w:r>
      <w:r w:rsidRPr="00DF48A3">
        <w:rPr>
          <w:lang w:val="en-US"/>
        </w:rPr>
        <w:t>, Moscow, Russia</w:t>
      </w:r>
      <w:r>
        <w:rPr>
          <w:lang w:val="en-US"/>
        </w:rPr>
        <w:t>,</w:t>
      </w:r>
      <w:r w:rsidRPr="000976E8">
        <w:rPr>
          <w:color w:val="000000"/>
          <w:lang w:val="en-US"/>
        </w:rPr>
        <w:t xml:space="preserve"> </w:t>
      </w:r>
      <w:hyperlink r:id="rId7" w:history="1">
        <w:r w:rsidRPr="000976E8">
          <w:rPr>
            <w:rStyle w:val="a7"/>
            <w:i w:val="0"/>
            <w:lang w:val="en-US"/>
          </w:rPr>
          <w:t>shakhatov@ips.ac.ru</w:t>
        </w:r>
      </w:hyperlink>
      <w:r w:rsidRPr="000976E8">
        <w:rPr>
          <w:lang w:val="en-US"/>
        </w:rPr>
        <w:t xml:space="preserve">, </w:t>
      </w:r>
      <w:hyperlink r:id="rId8" w:history="1">
        <w:r w:rsidRPr="000976E8">
          <w:rPr>
            <w:rStyle w:val="a7"/>
            <w:i w:val="0"/>
            <w:lang w:val="en-US"/>
          </w:rPr>
          <w:t>lebedev@ips.ac.ru</w:t>
        </w:r>
      </w:hyperlink>
    </w:p>
    <w:p w:rsidR="007063A2" w:rsidRPr="007063A2" w:rsidRDefault="007063A2" w:rsidP="007063A2">
      <w:pPr>
        <w:pStyle w:val="Zv-bodyreport"/>
        <w:rPr>
          <w:lang w:val="en-US"/>
        </w:rPr>
      </w:pPr>
      <w:r w:rsidRPr="007063A2">
        <w:rPr>
          <w:lang w:val="en-US"/>
        </w:rPr>
        <w:t xml:space="preserve">In the framework of the semiempirical level-to-level collisionally-radiative model of the hydrogen low temperature plasma, developed in this work, it is carried out analysis of the applicability of spectroscopy diagnostics by triplet radiative states </w:t>
      </w:r>
      <w:r w:rsidRPr="004A0928">
        <w:rPr>
          <w:rFonts w:eastAsia="Calibri"/>
        </w:rPr>
        <w:object w:dxaOrig="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75pt">
            <v:imagedata r:id="rId9" o:title=""/>
          </v:shape>
        </w:object>
      </w:r>
      <w:r w:rsidRPr="007063A2">
        <w:rPr>
          <w:lang w:val="en-US"/>
        </w:rPr>
        <w:t xml:space="preserve"> (= </w:t>
      </w:r>
      <w:r w:rsidRPr="004A0928">
        <w:object w:dxaOrig="520" w:dyaOrig="400">
          <v:shape id="_x0000_i1026" type="#_x0000_t75" style="width:26.25pt;height:20.25pt" o:ole="">
            <v:imagedata r:id="rId10" o:title=""/>
          </v:shape>
          <o:OLEObject Type="Embed" ProgID="Equation.DSMT4" ShapeID="_x0000_i1026" DrawAspect="Content" ObjectID="_1545058780" r:id="rId11"/>
        </w:object>
      </w:r>
      <w:r w:rsidRPr="007063A2">
        <w:rPr>
          <w:lang w:val="en-US"/>
        </w:rPr>
        <w:t xml:space="preserve">, </w:t>
      </w:r>
      <w:r w:rsidRPr="004A0928">
        <w:object w:dxaOrig="580" w:dyaOrig="380">
          <v:shape id="_x0000_i1027" type="#_x0000_t75" style="width:29.25pt;height:18.75pt" o:ole="">
            <v:imagedata r:id="rId12" o:title=""/>
          </v:shape>
          <o:OLEObject Type="Embed" ProgID="Equation.DSMT4" ShapeID="_x0000_i1027" DrawAspect="Content" ObjectID="_1545058781" r:id="rId13"/>
        </w:object>
      </w:r>
      <w:r w:rsidRPr="007063A2">
        <w:rPr>
          <w:lang w:val="en-US"/>
        </w:rPr>
        <w:t xml:space="preserve">, </w:t>
      </w:r>
      <w:r w:rsidRPr="004A0928">
        <w:object w:dxaOrig="499" w:dyaOrig="380">
          <v:shape id="_x0000_i1028" type="#_x0000_t75" style="width:24.75pt;height:18.75pt" o:ole="">
            <v:imagedata r:id="rId14" o:title=""/>
          </v:shape>
          <o:OLEObject Type="Embed" ProgID="Equation.DSMT4" ShapeID="_x0000_i1028" DrawAspect="Content" ObjectID="_1545058782" r:id="rId15"/>
        </w:object>
      </w:r>
      <w:r w:rsidRPr="007063A2">
        <w:rPr>
          <w:lang w:val="en-US"/>
        </w:rPr>
        <w:t xml:space="preserve">, </w:t>
      </w:r>
      <w:r w:rsidRPr="004A0928">
        <w:object w:dxaOrig="560" w:dyaOrig="380">
          <v:shape id="_x0000_i1029" type="#_x0000_t75" style="width:27.75pt;height:18.75pt" o:ole="">
            <v:imagedata r:id="rId16" o:title=""/>
          </v:shape>
          <o:OLEObject Type="Embed" ProgID="Equation.DSMT4" ShapeID="_x0000_i1029" DrawAspect="Content" ObjectID="_1545058783" r:id="rId17"/>
        </w:object>
      </w:r>
      <w:r w:rsidRPr="007063A2">
        <w:rPr>
          <w:lang w:val="en-US"/>
        </w:rPr>
        <w:t xml:space="preserve">, </w:t>
      </w:r>
      <w:r w:rsidRPr="004A0928">
        <w:object w:dxaOrig="540" w:dyaOrig="400">
          <v:shape id="_x0000_i1030" type="#_x0000_t75" style="width:27pt;height:20.25pt" o:ole="">
            <v:imagedata r:id="rId18" o:title=""/>
          </v:shape>
          <o:OLEObject Type="Embed" ProgID="Equation.DSMT4" ShapeID="_x0000_i1030" DrawAspect="Content" ObjectID="_1545058784" r:id="rId19"/>
        </w:object>
      </w:r>
      <w:r w:rsidRPr="007063A2">
        <w:rPr>
          <w:lang w:val="en-US"/>
        </w:rPr>
        <w:t xml:space="preserve">, </w:t>
      </w:r>
      <w:r w:rsidRPr="004A0928">
        <w:object w:dxaOrig="520" w:dyaOrig="400">
          <v:shape id="_x0000_i1031" type="#_x0000_t75" style="width:26.25pt;height:20.25pt" o:ole="">
            <v:imagedata r:id="rId20" o:title=""/>
          </v:shape>
          <o:OLEObject Type="Embed" ProgID="Equation.DSMT4" ShapeID="_x0000_i1031" DrawAspect="Content" ObjectID="_1545058785" r:id="rId21"/>
        </w:object>
      </w:r>
      <w:r w:rsidRPr="007063A2">
        <w:rPr>
          <w:lang w:val="en-US"/>
        </w:rPr>
        <w:t xml:space="preserve">, </w:t>
      </w:r>
      <w:r w:rsidRPr="004A0928">
        <w:object w:dxaOrig="499" w:dyaOrig="400">
          <v:shape id="_x0000_i1032" type="#_x0000_t75" style="width:24.75pt;height:20.25pt" o:ole="">
            <v:imagedata r:id="rId22" o:title=""/>
          </v:shape>
          <o:OLEObject Type="Embed" ProgID="Equation.DSMT4" ShapeID="_x0000_i1032" DrawAspect="Content" ObjectID="_1545058786" r:id="rId23"/>
        </w:object>
      </w:r>
      <w:r w:rsidRPr="007063A2">
        <w:rPr>
          <w:lang w:val="en-US"/>
        </w:rPr>
        <w:t xml:space="preserve">, </w:t>
      </w:r>
      <w:r w:rsidRPr="004A0928">
        <w:object w:dxaOrig="560" w:dyaOrig="380">
          <v:shape id="_x0000_i1033" type="#_x0000_t75" style="width:27.75pt;height:18.75pt" o:ole="">
            <v:imagedata r:id="rId24" o:title=""/>
          </v:shape>
          <o:OLEObject Type="Embed" ProgID="Equation.DSMT4" ShapeID="_x0000_i1033" DrawAspect="Content" ObjectID="_1545058787" r:id="rId25"/>
        </w:object>
      </w:r>
      <w:r w:rsidRPr="007063A2">
        <w:rPr>
          <w:lang w:val="en-US"/>
        </w:rPr>
        <w:t xml:space="preserve"> </w:t>
      </w:r>
      <w:r w:rsidRPr="004A0928">
        <w:t>и</w:t>
      </w:r>
      <w:r w:rsidRPr="007063A2">
        <w:rPr>
          <w:lang w:val="en-US"/>
        </w:rPr>
        <w:t xml:space="preserve"> </w:t>
      </w:r>
      <w:r w:rsidRPr="004A0928">
        <w:object w:dxaOrig="560" w:dyaOrig="400">
          <v:shape id="_x0000_i1034" type="#_x0000_t75" style="width:27.75pt;height:20.25pt" o:ole="">
            <v:imagedata r:id="rId26" o:title=""/>
          </v:shape>
          <o:OLEObject Type="Embed" ProgID="Equation.DSMT4" ShapeID="_x0000_i1034" DrawAspect="Content" ObjectID="_1545058788" r:id="rId27"/>
        </w:object>
      </w:r>
      <w:r w:rsidRPr="007063A2">
        <w:rPr>
          <w:lang w:val="en-US"/>
        </w:rPr>
        <w:t xml:space="preserve">) of hydrogen molecules in the positive column of a DC glow discharge in the range of variations of the reduced electric field </w:t>
      </w:r>
      <w:r w:rsidRPr="004A0928">
        <w:object w:dxaOrig="780" w:dyaOrig="279">
          <v:shape id="_x0000_i1035" type="#_x0000_t75" style="width:39pt;height:14.25pt" o:ole="">
            <v:imagedata r:id="rId28" o:title=""/>
          </v:shape>
          <o:OLEObject Type="Embed" ProgID="Equation.DSMT4" ShapeID="_x0000_i1035" DrawAspect="Content" ObjectID="_1545058789" r:id="rId29"/>
        </w:object>
      </w:r>
      <w:r w:rsidRPr="007063A2">
        <w:rPr>
          <w:lang w:val="en-US"/>
        </w:rPr>
        <w:t xml:space="preserve">30 – 130 Td, pressure </w:t>
      </w:r>
      <w:r w:rsidRPr="004A0928">
        <w:object w:dxaOrig="420" w:dyaOrig="260">
          <v:shape id="_x0000_i1036" type="#_x0000_t75" style="width:21pt;height:12.75pt" o:ole="">
            <v:imagedata r:id="rId30" o:title=""/>
          </v:shape>
          <o:OLEObject Type="Embed" ProgID="Equation.DSMT4" ShapeID="_x0000_i1036" DrawAspect="Content" ObjectID="_1545058790" r:id="rId31"/>
        </w:object>
      </w:r>
      <w:r w:rsidRPr="007063A2">
        <w:rPr>
          <w:lang w:val="en-US"/>
        </w:rPr>
        <w:t xml:space="preserve">0.3–15 Torr and electron concentration </w:t>
      </w:r>
      <w:r w:rsidRPr="004A0928">
        <w:object w:dxaOrig="540" w:dyaOrig="360">
          <v:shape id="_x0000_i1037" type="#_x0000_t75" style="width:27pt;height:18pt" o:ole="">
            <v:imagedata r:id="rId32" o:title=""/>
          </v:shape>
          <o:OLEObject Type="Embed" ProgID="Equation.DSMT4" ShapeID="_x0000_i1037" DrawAspect="Content" ObjectID="_1545058791" r:id="rId33"/>
        </w:object>
      </w:r>
      <w:r w:rsidRPr="007063A2">
        <w:rPr>
          <w:lang w:val="en-US"/>
        </w:rPr>
        <w:t>4.0 × 109–6.5×1010 cm–3.</w:t>
      </w:r>
    </w:p>
    <w:p w:rsidR="007063A2" w:rsidRPr="007063A2" w:rsidRDefault="007063A2" w:rsidP="007063A2">
      <w:pPr>
        <w:pStyle w:val="Zv-bodyreport"/>
        <w:rPr>
          <w:rFonts w:eastAsia="Calibri"/>
          <w:lang w:val="en-US"/>
        </w:rPr>
      </w:pPr>
      <w:r w:rsidRPr="007063A2">
        <w:rPr>
          <w:lang w:val="en-US"/>
        </w:rPr>
        <w:t xml:space="preserve">Secondary processes give the largest contribution to the birth and death of the </w:t>
      </w:r>
      <w:r w:rsidRPr="004A0928">
        <w:rPr>
          <w:rFonts w:eastAsia="Calibri"/>
        </w:rPr>
        <w:object w:dxaOrig="520" w:dyaOrig="400">
          <v:shape id="_x0000_i1038" type="#_x0000_t75" style="width:26.25pt;height:20.25pt" o:ole="">
            <v:imagedata r:id="rId10" o:title=""/>
          </v:shape>
          <o:OLEObject Type="Embed" ProgID="Equation.DSMT4" ShapeID="_x0000_i1038" DrawAspect="Content" ObjectID="_1545058792" r:id="rId34"/>
        </w:object>
      </w:r>
      <w:r w:rsidRPr="007063A2">
        <w:rPr>
          <w:rFonts w:eastAsia="Calibri"/>
          <w:lang w:val="en-US"/>
        </w:rPr>
        <w:t xml:space="preserve">, </w:t>
      </w:r>
      <w:r w:rsidRPr="004A0928">
        <w:rPr>
          <w:rFonts w:eastAsia="Calibri"/>
        </w:rPr>
        <w:object w:dxaOrig="540" w:dyaOrig="380">
          <v:shape id="_x0000_i1039" type="#_x0000_t75" style="width:27pt;height:18.75pt">
            <v:imagedata r:id="rId35" o:title=""/>
          </v:shape>
        </w:object>
      </w:r>
      <w:r w:rsidRPr="007063A2">
        <w:rPr>
          <w:rFonts w:eastAsia="Calibri"/>
          <w:lang w:val="en-US"/>
        </w:rPr>
        <w:t xml:space="preserve">, </w:t>
      </w:r>
      <w:r w:rsidRPr="004A0928">
        <w:rPr>
          <w:rFonts w:eastAsia="Calibri"/>
        </w:rPr>
        <w:object w:dxaOrig="540" w:dyaOrig="400">
          <v:shape id="_x0000_i1040" type="#_x0000_t75" style="width:27pt;height:20.25pt" o:ole="">
            <v:imagedata r:id="rId18" o:title=""/>
          </v:shape>
          <o:OLEObject Type="Embed" ProgID="Equation.DSMT4" ShapeID="_x0000_i1040" DrawAspect="Content" ObjectID="_1545058793" r:id="rId36"/>
        </w:object>
      </w:r>
      <w:r w:rsidRPr="007063A2">
        <w:rPr>
          <w:rFonts w:eastAsia="Calibri"/>
          <w:lang w:val="en-US"/>
        </w:rPr>
        <w:t xml:space="preserve">, </w:t>
      </w:r>
      <w:r w:rsidRPr="004A0928">
        <w:rPr>
          <w:rFonts w:eastAsia="Calibri"/>
        </w:rPr>
        <w:object w:dxaOrig="520" w:dyaOrig="400">
          <v:shape id="_x0000_i1041" type="#_x0000_t75" style="width:26.25pt;height:20.25pt" o:ole="">
            <v:imagedata r:id="rId20" o:title=""/>
          </v:shape>
          <o:OLEObject Type="Embed" ProgID="Equation.DSMT4" ShapeID="_x0000_i1041" DrawAspect="Content" ObjectID="_1545058794" r:id="rId37"/>
        </w:object>
      </w:r>
      <w:r w:rsidRPr="007063A2">
        <w:rPr>
          <w:rFonts w:eastAsia="Calibri"/>
          <w:lang w:val="en-US"/>
        </w:rPr>
        <w:t xml:space="preserve"> </w:t>
      </w:r>
      <w:r w:rsidRPr="007063A2">
        <w:rPr>
          <w:lang w:val="en-US"/>
        </w:rPr>
        <w:t>and</w:t>
      </w:r>
      <w:r w:rsidRPr="007063A2">
        <w:rPr>
          <w:rFonts w:eastAsia="Calibri"/>
          <w:lang w:val="en-US"/>
        </w:rPr>
        <w:t xml:space="preserve"> </w:t>
      </w:r>
      <w:r w:rsidRPr="004A0928">
        <w:rPr>
          <w:rFonts w:eastAsia="Calibri"/>
        </w:rPr>
        <w:object w:dxaOrig="499" w:dyaOrig="400">
          <v:shape id="_x0000_i1042" type="#_x0000_t75" style="width:24.75pt;height:20.25pt" o:ole="">
            <v:imagedata r:id="rId22" o:title=""/>
          </v:shape>
          <o:OLEObject Type="Embed" ProgID="Equation.DSMT4" ShapeID="_x0000_i1042" DrawAspect="Content" ObjectID="_1545058795" r:id="rId38"/>
        </w:object>
      </w:r>
      <w:r w:rsidRPr="007063A2">
        <w:rPr>
          <w:lang w:val="en-US"/>
        </w:rPr>
        <w:t xml:space="preserve"> states in the investigated range of variation </w:t>
      </w:r>
      <w:r w:rsidRPr="004A0928">
        <w:rPr>
          <w:rFonts w:eastAsia="Calibri"/>
        </w:rPr>
        <w:object w:dxaOrig="580" w:dyaOrig="279">
          <v:shape id="_x0000_i1043" type="#_x0000_t75" style="width:29.25pt;height:14.25pt" o:ole="">
            <v:imagedata r:id="rId39" o:title=""/>
          </v:shape>
          <o:OLEObject Type="Embed" ProgID="Equation.DSMT4" ShapeID="_x0000_i1043" DrawAspect="Content" ObjectID="_1545058796" r:id="rId40"/>
        </w:object>
      </w:r>
      <w:r w:rsidRPr="007063A2">
        <w:rPr>
          <w:rFonts w:eastAsia="Calibri"/>
          <w:lang w:val="en-US"/>
        </w:rPr>
        <w:t xml:space="preserve">, </w:t>
      </w:r>
      <w:r w:rsidRPr="004A0928">
        <w:rPr>
          <w:rFonts w:eastAsia="Calibri"/>
        </w:rPr>
        <w:object w:dxaOrig="240" w:dyaOrig="260">
          <v:shape id="_x0000_i1044" type="#_x0000_t75" style="width:12pt;height:12.75pt" o:ole="">
            <v:imagedata r:id="rId41" o:title=""/>
          </v:shape>
          <o:OLEObject Type="Embed" ProgID="Equation.DSMT4" ShapeID="_x0000_i1044" DrawAspect="Content" ObjectID="_1545058797" r:id="rId42"/>
        </w:object>
      </w:r>
      <w:r w:rsidRPr="007063A2">
        <w:rPr>
          <w:rFonts w:eastAsia="Calibri"/>
          <w:lang w:val="en-US"/>
        </w:rPr>
        <w:t xml:space="preserve"> and </w:t>
      </w:r>
      <w:r w:rsidRPr="004A0928">
        <w:rPr>
          <w:rFonts w:eastAsia="Calibri"/>
        </w:rPr>
        <w:object w:dxaOrig="320" w:dyaOrig="360">
          <v:shape id="_x0000_i1045" type="#_x0000_t75" style="width:15.75pt;height:18pt" o:ole="">
            <v:imagedata r:id="rId43" o:title=""/>
          </v:shape>
          <o:OLEObject Type="Embed" ProgID="Equation.DSMT4" ShapeID="_x0000_i1045" DrawAspect="Content" ObjectID="_1545058798" r:id="rId44"/>
        </w:object>
      </w:r>
      <w:r w:rsidRPr="007063A2">
        <w:rPr>
          <w:rFonts w:eastAsia="Calibri"/>
          <w:lang w:val="en-US"/>
        </w:rPr>
        <w:t xml:space="preserve">. The composition, number and hierarchy of processes that determine the balance of the concentrations of the hydrogen molecules in the </w:t>
      </w:r>
      <w:r w:rsidRPr="004A0928">
        <w:rPr>
          <w:rFonts w:eastAsia="Calibri"/>
        </w:rPr>
        <w:object w:dxaOrig="520" w:dyaOrig="400">
          <v:shape id="_x0000_i1046" type="#_x0000_t75" style="width:26.25pt;height:20.25pt" o:ole="">
            <v:imagedata r:id="rId10" o:title=""/>
          </v:shape>
          <o:OLEObject Type="Embed" ProgID="Equation.DSMT4" ShapeID="_x0000_i1046" DrawAspect="Content" ObjectID="_1545058799" r:id="rId45"/>
        </w:object>
      </w:r>
      <w:r w:rsidRPr="007063A2">
        <w:rPr>
          <w:rFonts w:eastAsia="Calibri"/>
          <w:lang w:val="en-US"/>
        </w:rPr>
        <w:t xml:space="preserve">, </w:t>
      </w:r>
      <w:r w:rsidRPr="004A0928">
        <w:rPr>
          <w:rFonts w:eastAsia="Calibri"/>
        </w:rPr>
        <w:object w:dxaOrig="540" w:dyaOrig="380">
          <v:shape id="_x0000_i1047" type="#_x0000_t75" style="width:27pt;height:18.75pt">
            <v:imagedata r:id="rId35" o:title=""/>
          </v:shape>
        </w:object>
      </w:r>
      <w:r w:rsidRPr="007063A2">
        <w:rPr>
          <w:rFonts w:eastAsia="Calibri"/>
          <w:lang w:val="en-US"/>
        </w:rPr>
        <w:t xml:space="preserve">, </w:t>
      </w:r>
      <w:r w:rsidRPr="004A0928">
        <w:rPr>
          <w:rFonts w:eastAsia="Calibri"/>
        </w:rPr>
        <w:object w:dxaOrig="540" w:dyaOrig="400">
          <v:shape id="_x0000_i1048" type="#_x0000_t75" style="width:27pt;height:20.25pt" o:ole="">
            <v:imagedata r:id="rId18" o:title=""/>
          </v:shape>
          <o:OLEObject Type="Embed" ProgID="Equation.DSMT4" ShapeID="_x0000_i1048" DrawAspect="Content" ObjectID="_1545058800" r:id="rId46"/>
        </w:object>
      </w:r>
      <w:r w:rsidRPr="007063A2">
        <w:rPr>
          <w:rFonts w:eastAsia="Calibri"/>
          <w:lang w:val="en-US"/>
        </w:rPr>
        <w:t xml:space="preserve">, </w:t>
      </w:r>
      <w:r w:rsidRPr="004A0928">
        <w:rPr>
          <w:rFonts w:eastAsia="Calibri"/>
        </w:rPr>
        <w:object w:dxaOrig="520" w:dyaOrig="400">
          <v:shape id="_x0000_i1049" type="#_x0000_t75" style="width:26.25pt;height:20.25pt" o:ole="">
            <v:imagedata r:id="rId20" o:title=""/>
          </v:shape>
          <o:OLEObject Type="Embed" ProgID="Equation.DSMT4" ShapeID="_x0000_i1049" DrawAspect="Content" ObjectID="_1545058801" r:id="rId47"/>
        </w:object>
      </w:r>
      <w:r w:rsidRPr="007063A2">
        <w:rPr>
          <w:rFonts w:eastAsia="Calibri"/>
          <w:lang w:val="en-US"/>
        </w:rPr>
        <w:t xml:space="preserve"> and </w:t>
      </w:r>
      <w:r w:rsidRPr="004A0928">
        <w:rPr>
          <w:rFonts w:eastAsia="Calibri"/>
        </w:rPr>
        <w:object w:dxaOrig="499" w:dyaOrig="400">
          <v:shape id="_x0000_i1050" type="#_x0000_t75" style="width:24.75pt;height:20.25pt" o:ole="">
            <v:imagedata r:id="rId22" o:title=""/>
          </v:shape>
          <o:OLEObject Type="Embed" ProgID="Equation.DSMT4" ShapeID="_x0000_i1050" DrawAspect="Content" ObjectID="_1545058802" r:id="rId48"/>
        </w:object>
      </w:r>
      <w:r w:rsidRPr="007063A2">
        <w:rPr>
          <w:rFonts w:eastAsia="Calibri"/>
          <w:lang w:val="en-US"/>
        </w:rPr>
        <w:t xml:space="preserve"> states depend on </w:t>
      </w:r>
      <w:r w:rsidRPr="004A0928">
        <w:rPr>
          <w:rFonts w:eastAsia="Calibri"/>
        </w:rPr>
        <w:object w:dxaOrig="580" w:dyaOrig="279">
          <v:shape id="_x0000_i1051" type="#_x0000_t75" style="width:29.25pt;height:14.25pt" o:ole="">
            <v:imagedata r:id="rId39" o:title=""/>
          </v:shape>
          <o:OLEObject Type="Embed" ProgID="Equation.DSMT4" ShapeID="_x0000_i1051" DrawAspect="Content" ObjectID="_1545058803" r:id="rId49"/>
        </w:object>
      </w:r>
      <w:r w:rsidRPr="007063A2">
        <w:rPr>
          <w:rFonts w:eastAsia="Calibri"/>
          <w:lang w:val="en-US"/>
        </w:rPr>
        <w:t xml:space="preserve">, </w:t>
      </w:r>
      <w:r w:rsidRPr="004A0928">
        <w:rPr>
          <w:rFonts w:eastAsia="Calibri"/>
        </w:rPr>
        <w:object w:dxaOrig="240" w:dyaOrig="260">
          <v:shape id="_x0000_i1052" type="#_x0000_t75" style="width:12pt;height:12.75pt" o:ole="">
            <v:imagedata r:id="rId41" o:title=""/>
          </v:shape>
          <o:OLEObject Type="Embed" ProgID="Equation.DSMT4" ShapeID="_x0000_i1052" DrawAspect="Content" ObjectID="_1545058804" r:id="rId50"/>
        </w:object>
      </w:r>
      <w:r w:rsidRPr="007063A2">
        <w:rPr>
          <w:rFonts w:eastAsia="Calibri"/>
          <w:lang w:val="en-US"/>
        </w:rPr>
        <w:t xml:space="preserve"> and </w:t>
      </w:r>
      <w:r w:rsidRPr="004A0928">
        <w:rPr>
          <w:rFonts w:eastAsia="Calibri"/>
        </w:rPr>
        <w:object w:dxaOrig="320" w:dyaOrig="360">
          <v:shape id="_x0000_i1053" type="#_x0000_t75" style="width:15.75pt;height:18pt" o:ole="">
            <v:imagedata r:id="rId43" o:title=""/>
          </v:shape>
          <o:OLEObject Type="Embed" ProgID="Equation.DSMT4" ShapeID="_x0000_i1053" DrawAspect="Content" ObjectID="_1545058805" r:id="rId51"/>
        </w:object>
      </w:r>
      <w:r w:rsidRPr="007063A2">
        <w:rPr>
          <w:rFonts w:eastAsia="Calibri"/>
          <w:lang w:val="en-US"/>
        </w:rPr>
        <w:t xml:space="preserve">. </w:t>
      </w:r>
      <w:r w:rsidRPr="007063A2">
        <w:rPr>
          <w:lang w:val="en-US"/>
        </w:rPr>
        <w:t>The smallest</w:t>
      </w:r>
      <w:r>
        <w:rPr>
          <w:lang w:val="en-US"/>
        </w:rPr>
        <w:t xml:space="preserve"> </w:t>
      </w:r>
      <w:r w:rsidRPr="007063A2">
        <w:rPr>
          <w:lang w:val="en-US"/>
        </w:rPr>
        <w:t xml:space="preserve"> contribution of the secondary processes is given in the birth and death of the </w:t>
      </w:r>
      <w:r w:rsidRPr="004A0928">
        <w:rPr>
          <w:rFonts w:eastAsia="Calibri"/>
        </w:rPr>
        <w:object w:dxaOrig="499" w:dyaOrig="380">
          <v:shape id="_x0000_i1054" type="#_x0000_t75" style="width:24.75pt;height:18.75pt">
            <v:imagedata r:id="rId52" o:title=""/>
          </v:shape>
        </w:object>
      </w:r>
      <w:r w:rsidRPr="007063A2">
        <w:rPr>
          <w:rFonts w:eastAsia="Calibri"/>
          <w:lang w:val="en-US"/>
        </w:rPr>
        <w:t xml:space="preserve">, </w:t>
      </w:r>
      <w:r w:rsidRPr="004A0928">
        <w:rPr>
          <w:rFonts w:eastAsia="Calibri"/>
        </w:rPr>
        <w:object w:dxaOrig="560" w:dyaOrig="380">
          <v:shape id="_x0000_i1055" type="#_x0000_t75" style="width:27.75pt;height:18.75pt">
            <v:imagedata r:id="rId53" o:title=""/>
          </v:shape>
        </w:object>
      </w:r>
      <w:r w:rsidRPr="007063A2">
        <w:rPr>
          <w:rFonts w:eastAsia="Calibri"/>
          <w:lang w:val="en-US"/>
        </w:rPr>
        <w:t xml:space="preserve">, </w:t>
      </w:r>
      <w:r w:rsidRPr="004A0928">
        <w:rPr>
          <w:rFonts w:eastAsia="Calibri"/>
        </w:rPr>
        <w:object w:dxaOrig="580" w:dyaOrig="380">
          <v:shape id="_x0000_i1056" type="#_x0000_t75" style="width:29.25pt;height:18.75pt" o:ole="">
            <v:imagedata r:id="rId12" o:title=""/>
          </v:shape>
          <o:OLEObject Type="Embed" ProgID="Equation.DSMT4" ShapeID="_x0000_i1056" DrawAspect="Content" ObjectID="_1545058806" r:id="rId54"/>
        </w:object>
      </w:r>
      <w:r w:rsidRPr="007063A2">
        <w:rPr>
          <w:rFonts w:eastAsia="Calibri"/>
          <w:lang w:val="en-US"/>
        </w:rPr>
        <w:t xml:space="preserve">, </w:t>
      </w:r>
      <w:r w:rsidRPr="004A0928">
        <w:rPr>
          <w:rFonts w:eastAsia="Calibri"/>
        </w:rPr>
        <w:object w:dxaOrig="560" w:dyaOrig="380">
          <v:shape id="_x0000_i1057" type="#_x0000_t75" style="width:27.75pt;height:18.75pt" o:ole="">
            <v:imagedata r:id="rId24" o:title=""/>
          </v:shape>
          <o:OLEObject Type="Embed" ProgID="Equation.DSMT4" ShapeID="_x0000_i1057" DrawAspect="Content" ObjectID="_1545058807" r:id="rId55"/>
        </w:object>
      </w:r>
      <w:r w:rsidRPr="007063A2">
        <w:rPr>
          <w:rFonts w:eastAsia="Calibri"/>
          <w:lang w:val="en-US"/>
        </w:rPr>
        <w:t xml:space="preserve"> and </w:t>
      </w:r>
      <w:r w:rsidRPr="004A0928">
        <w:rPr>
          <w:rFonts w:eastAsia="Calibri"/>
        </w:rPr>
        <w:object w:dxaOrig="560" w:dyaOrig="400">
          <v:shape id="_x0000_i1058" type="#_x0000_t75" style="width:27.75pt;height:20.25pt" o:ole="">
            <v:imagedata r:id="rId26" o:title=""/>
          </v:shape>
          <o:OLEObject Type="Embed" ProgID="Equation.DSMT4" ShapeID="_x0000_i1058" DrawAspect="Content" ObjectID="_1545058808" r:id="rId56"/>
        </w:object>
      </w:r>
      <w:r w:rsidRPr="007063A2">
        <w:rPr>
          <w:rFonts w:eastAsia="Calibri"/>
          <w:lang w:val="en-US"/>
        </w:rPr>
        <w:t xml:space="preserve"> states. </w:t>
      </w:r>
      <w:r w:rsidRPr="007063A2">
        <w:rPr>
          <w:lang w:val="en-US"/>
        </w:rPr>
        <w:t xml:space="preserve">The dependence of </w:t>
      </w:r>
      <w:r w:rsidRPr="007063A2">
        <w:rPr>
          <w:rFonts w:eastAsia="Calibri"/>
          <w:lang w:val="en-US"/>
        </w:rPr>
        <w:t xml:space="preserve">composition, number and hierarchy </w:t>
      </w:r>
      <w:r w:rsidRPr="007063A2">
        <w:rPr>
          <w:lang w:val="en-US"/>
        </w:rPr>
        <w:t xml:space="preserve">of processes, determining the birth and death of the </w:t>
      </w:r>
      <w:r w:rsidRPr="004A0928">
        <w:rPr>
          <w:rFonts w:eastAsia="Calibri"/>
        </w:rPr>
        <w:object w:dxaOrig="499" w:dyaOrig="380">
          <v:shape id="_x0000_i1059" type="#_x0000_t75" style="width:24.75pt;height:18.75pt">
            <v:imagedata r:id="rId52" o:title=""/>
          </v:shape>
        </w:object>
      </w:r>
      <w:r w:rsidRPr="007063A2">
        <w:rPr>
          <w:rFonts w:eastAsia="Calibri"/>
          <w:lang w:val="en-US"/>
        </w:rPr>
        <w:t xml:space="preserve">, </w:t>
      </w:r>
      <w:r w:rsidRPr="004A0928">
        <w:rPr>
          <w:rFonts w:eastAsia="Calibri"/>
        </w:rPr>
        <w:object w:dxaOrig="560" w:dyaOrig="380">
          <v:shape id="_x0000_i1060" type="#_x0000_t75" style="width:27.75pt;height:18.75pt">
            <v:imagedata r:id="rId53" o:title=""/>
          </v:shape>
        </w:object>
      </w:r>
      <w:r w:rsidRPr="007063A2">
        <w:rPr>
          <w:rFonts w:eastAsia="Calibri"/>
          <w:lang w:val="en-US"/>
        </w:rPr>
        <w:t xml:space="preserve"> </w:t>
      </w:r>
      <w:r w:rsidRPr="007063A2">
        <w:rPr>
          <w:lang w:val="en-US"/>
        </w:rPr>
        <w:t>and</w:t>
      </w:r>
      <w:r w:rsidRPr="007063A2">
        <w:rPr>
          <w:rFonts w:eastAsia="Calibri"/>
          <w:lang w:val="en-US"/>
        </w:rPr>
        <w:t xml:space="preserve"> </w:t>
      </w:r>
      <w:r w:rsidRPr="004A0928">
        <w:rPr>
          <w:rFonts w:eastAsia="Calibri"/>
        </w:rPr>
        <w:object w:dxaOrig="560" w:dyaOrig="380">
          <v:shape id="_x0000_i1061" type="#_x0000_t75" style="width:27.75pt;height:18.75pt" o:ole="">
            <v:imagedata r:id="rId24" o:title=""/>
          </v:shape>
          <o:OLEObject Type="Embed" ProgID="Equation.DSMT4" ShapeID="_x0000_i1061" DrawAspect="Content" ObjectID="_1545058809" r:id="rId57"/>
        </w:object>
      </w:r>
      <w:r w:rsidRPr="007063A2">
        <w:rPr>
          <w:lang w:val="en-US"/>
        </w:rPr>
        <w:t xml:space="preserve"> states, on parameters </w:t>
      </w:r>
      <w:r w:rsidRPr="004A0928">
        <w:rPr>
          <w:rFonts w:eastAsia="Calibri"/>
        </w:rPr>
        <w:object w:dxaOrig="580" w:dyaOrig="279">
          <v:shape id="_x0000_i1062" type="#_x0000_t75" style="width:29.25pt;height:14.25pt">
            <v:imagedata r:id="rId58" o:title=""/>
          </v:shape>
        </w:object>
      </w:r>
      <w:r w:rsidRPr="007063A2">
        <w:rPr>
          <w:rFonts w:eastAsia="Calibri"/>
          <w:lang w:val="en-US"/>
        </w:rPr>
        <w:t xml:space="preserve">, </w:t>
      </w:r>
      <w:r w:rsidRPr="004A0928">
        <w:rPr>
          <w:rFonts w:eastAsia="Calibri"/>
        </w:rPr>
        <w:object w:dxaOrig="240" w:dyaOrig="260">
          <v:shape id="_x0000_i1063" type="#_x0000_t75" style="width:12pt;height:12.75pt">
            <v:imagedata r:id="rId59" o:title=""/>
          </v:shape>
        </w:object>
      </w:r>
      <w:r w:rsidRPr="007063A2">
        <w:rPr>
          <w:rFonts w:eastAsia="Calibri"/>
          <w:lang w:val="en-US"/>
        </w:rPr>
        <w:t xml:space="preserve"> </w:t>
      </w:r>
      <w:r w:rsidRPr="007063A2">
        <w:rPr>
          <w:lang w:val="en-US"/>
        </w:rPr>
        <w:t>and</w:t>
      </w:r>
      <w:r w:rsidRPr="007063A2">
        <w:rPr>
          <w:rFonts w:eastAsia="Calibri"/>
          <w:lang w:val="en-US"/>
        </w:rPr>
        <w:t xml:space="preserve"> </w:t>
      </w:r>
      <w:r w:rsidRPr="004A0928">
        <w:rPr>
          <w:rFonts w:eastAsia="Calibri"/>
        </w:rPr>
        <w:object w:dxaOrig="320" w:dyaOrig="360">
          <v:shape id="_x0000_i1064" type="#_x0000_t75" style="width:15.75pt;height:18pt">
            <v:imagedata r:id="rId60" o:title=""/>
          </v:shape>
        </w:object>
      </w:r>
      <w:r w:rsidRPr="007063A2">
        <w:rPr>
          <w:lang w:val="en-US"/>
        </w:rPr>
        <w:t xml:space="preserve"> is weak. The dipole allowed transitions </w:t>
      </w:r>
      <w:r w:rsidRPr="004A0928">
        <w:rPr>
          <w:rFonts w:eastAsia="Calibri"/>
        </w:rPr>
        <w:object w:dxaOrig="1820" w:dyaOrig="440">
          <v:shape id="_x0000_i1065" type="#_x0000_t75" style="width:90.75pt;height:21.75pt">
            <v:imagedata r:id="rId61" o:title=""/>
          </v:shape>
        </w:object>
      </w:r>
      <w:r w:rsidRPr="007063A2">
        <w:rPr>
          <w:rFonts w:eastAsia="Calibri"/>
          <w:lang w:val="en-US"/>
        </w:rPr>
        <w:t xml:space="preserve">, </w:t>
      </w:r>
      <w:r w:rsidRPr="004A0928">
        <w:rPr>
          <w:rFonts w:eastAsia="Calibri"/>
        </w:rPr>
        <w:object w:dxaOrig="2480" w:dyaOrig="440">
          <v:shape id="_x0000_i1066" type="#_x0000_t75" style="width:123.75pt;height:21.75pt">
            <v:imagedata r:id="rId62" o:title=""/>
          </v:shape>
        </w:object>
      </w:r>
      <w:r w:rsidRPr="007063A2">
        <w:rPr>
          <w:rFonts w:eastAsia="Calibri"/>
          <w:lang w:val="en-US"/>
        </w:rPr>
        <w:t xml:space="preserve"> </w:t>
      </w:r>
      <w:r w:rsidRPr="007063A2">
        <w:rPr>
          <w:lang w:val="en-US"/>
        </w:rPr>
        <w:t>and</w:t>
      </w:r>
      <w:r w:rsidRPr="007063A2">
        <w:rPr>
          <w:rFonts w:eastAsia="Calibri"/>
          <w:lang w:val="en-US"/>
        </w:rPr>
        <w:t xml:space="preserve"> </w:t>
      </w:r>
      <w:r w:rsidRPr="004A0928">
        <w:rPr>
          <w:rFonts w:eastAsia="Calibri"/>
        </w:rPr>
        <w:object w:dxaOrig="1900" w:dyaOrig="440">
          <v:shape id="_x0000_i1067" type="#_x0000_t75" style="width:95.25pt;height:21.75pt">
            <v:imagedata r:id="rId63" o:title=""/>
          </v:shape>
        </w:object>
      </w:r>
      <w:r w:rsidRPr="007063A2">
        <w:rPr>
          <w:lang w:val="en-US"/>
        </w:rPr>
        <w:t xml:space="preserve"> can be used for spectral diagnostics of the positive column of a DC glow discharge. For the </w:t>
      </w:r>
      <w:r w:rsidRPr="004A0928">
        <w:rPr>
          <w:rFonts w:eastAsia="Calibri"/>
        </w:rPr>
        <w:object w:dxaOrig="560" w:dyaOrig="400">
          <v:shape id="_x0000_i1068" type="#_x0000_t75" style="width:27.75pt;height:20.25pt">
            <v:imagedata r:id="rId64" o:title=""/>
          </v:shape>
        </w:object>
      </w:r>
      <w:r w:rsidRPr="007063A2">
        <w:rPr>
          <w:rFonts w:eastAsia="Calibri"/>
          <w:lang w:val="en-US"/>
        </w:rPr>
        <w:t xml:space="preserve"> and </w:t>
      </w:r>
      <w:r w:rsidRPr="004A0928">
        <w:rPr>
          <w:rFonts w:eastAsia="Calibri"/>
        </w:rPr>
        <w:object w:dxaOrig="580" w:dyaOrig="380">
          <v:shape id="_x0000_i1069" type="#_x0000_t75" style="width:29.25pt;height:18.75pt">
            <v:imagedata r:id="rId65" o:title=""/>
          </v:shape>
        </w:object>
      </w:r>
      <w:r w:rsidRPr="007063A2">
        <w:rPr>
          <w:rFonts w:eastAsia="Calibri"/>
          <w:lang w:val="en-US"/>
        </w:rPr>
        <w:t xml:space="preserve"> s</w:t>
      </w:r>
      <w:r w:rsidRPr="007063A2">
        <w:rPr>
          <w:lang w:val="en-US"/>
        </w:rPr>
        <w:t xml:space="preserve">tates, this conclusion is fair in a limited range of variation </w:t>
      </w:r>
      <w:r w:rsidRPr="004A0928">
        <w:rPr>
          <w:rFonts w:eastAsia="Calibri"/>
        </w:rPr>
        <w:object w:dxaOrig="580" w:dyaOrig="279">
          <v:shape id="_x0000_i1070" type="#_x0000_t75" style="width:29.25pt;height:14.25pt" o:ole="">
            <v:imagedata r:id="rId39" o:title=""/>
          </v:shape>
          <o:OLEObject Type="Embed" ProgID="Equation.DSMT4" ShapeID="_x0000_i1070" DrawAspect="Content" ObjectID="_1545058810" r:id="rId66"/>
        </w:object>
      </w:r>
      <w:r w:rsidRPr="007063A2">
        <w:rPr>
          <w:rFonts w:eastAsia="Calibri"/>
          <w:lang w:val="en-US"/>
        </w:rPr>
        <w:t xml:space="preserve">, </w:t>
      </w:r>
      <w:r w:rsidRPr="004A0928">
        <w:rPr>
          <w:rFonts w:eastAsia="Calibri"/>
        </w:rPr>
        <w:object w:dxaOrig="240" w:dyaOrig="260">
          <v:shape id="_x0000_i1071" type="#_x0000_t75" style="width:12pt;height:12.75pt" o:ole="">
            <v:imagedata r:id="rId41" o:title=""/>
          </v:shape>
          <o:OLEObject Type="Embed" ProgID="Equation.DSMT4" ShapeID="_x0000_i1071" DrawAspect="Content" ObjectID="_1545058811" r:id="rId67"/>
        </w:object>
      </w:r>
      <w:r w:rsidRPr="007063A2">
        <w:rPr>
          <w:rFonts w:eastAsia="Calibri"/>
          <w:lang w:val="en-US"/>
        </w:rPr>
        <w:t xml:space="preserve"> and </w:t>
      </w:r>
      <w:r w:rsidRPr="004A0928">
        <w:rPr>
          <w:rFonts w:eastAsia="Calibri"/>
        </w:rPr>
        <w:object w:dxaOrig="320" w:dyaOrig="360">
          <v:shape id="_x0000_i1072" type="#_x0000_t75" style="width:15.75pt;height:18pt" o:ole="">
            <v:imagedata r:id="rId43" o:title=""/>
          </v:shape>
          <o:OLEObject Type="Embed" ProgID="Equation.DSMT4" ShapeID="_x0000_i1072" DrawAspect="Content" ObjectID="_1545058812" r:id="rId68"/>
        </w:object>
      </w:r>
      <w:r w:rsidRPr="007063A2">
        <w:rPr>
          <w:rFonts w:eastAsia="Calibri"/>
          <w:lang w:val="en-US"/>
        </w:rPr>
        <w:t xml:space="preserve">: the dipole transitions </w:t>
      </w:r>
      <w:r w:rsidRPr="004A0928">
        <w:rPr>
          <w:rFonts w:eastAsia="Calibri"/>
        </w:rPr>
        <w:object w:dxaOrig="2520" w:dyaOrig="440">
          <v:shape id="_x0000_i1073" type="#_x0000_t75" style="width:126pt;height:21.75pt">
            <v:imagedata r:id="rId69" o:title=""/>
          </v:shape>
        </w:object>
      </w:r>
      <w:r w:rsidRPr="007063A2">
        <w:rPr>
          <w:rFonts w:eastAsia="Calibri"/>
          <w:lang w:val="en-US"/>
        </w:rPr>
        <w:t xml:space="preserve"> can be used for spectral measurements at </w:t>
      </w:r>
      <w:r w:rsidRPr="004A0928">
        <w:rPr>
          <w:rFonts w:eastAsia="Calibri"/>
        </w:rPr>
        <w:object w:dxaOrig="580" w:dyaOrig="279">
          <v:shape id="_x0000_i1074" type="#_x0000_t75" style="width:29.25pt;height:14.25pt" o:ole="">
            <v:imagedata r:id="rId39" o:title=""/>
          </v:shape>
          <o:OLEObject Type="Embed" ProgID="Equation.DSMT4" ShapeID="_x0000_i1074" DrawAspect="Content" ObjectID="_1545058813" r:id="rId70"/>
        </w:object>
      </w:r>
      <w:r w:rsidRPr="007063A2">
        <w:rPr>
          <w:rFonts w:eastAsia="Calibri"/>
          <w:lang w:val="en-US"/>
        </w:rPr>
        <w:t xml:space="preserve"> = 65 - 130 Td, </w:t>
      </w:r>
      <w:r w:rsidRPr="004A0928">
        <w:rPr>
          <w:rFonts w:eastAsia="Calibri"/>
        </w:rPr>
        <w:object w:dxaOrig="240" w:dyaOrig="260">
          <v:shape id="_x0000_i1075" type="#_x0000_t75" style="width:12pt;height:12.75pt" o:ole="">
            <v:imagedata r:id="rId41" o:title=""/>
          </v:shape>
          <o:OLEObject Type="Embed" ProgID="Equation.DSMT4" ShapeID="_x0000_i1075" DrawAspect="Content" ObjectID="_1545058814" r:id="rId71"/>
        </w:object>
      </w:r>
      <w:r w:rsidRPr="007063A2">
        <w:rPr>
          <w:rFonts w:eastAsia="Calibri"/>
          <w:lang w:val="en-US"/>
        </w:rPr>
        <w:t xml:space="preserve"> = 0.3–0.9 Torr and </w:t>
      </w:r>
      <w:r w:rsidRPr="004A0928">
        <w:rPr>
          <w:rFonts w:eastAsia="Calibri"/>
        </w:rPr>
        <w:object w:dxaOrig="540" w:dyaOrig="360">
          <v:shape id="_x0000_i1076" type="#_x0000_t75" style="width:27pt;height:18pt" o:ole="">
            <v:imagedata r:id="rId32" o:title=""/>
          </v:shape>
          <o:OLEObject Type="Embed" ProgID="Equation.DSMT4" ShapeID="_x0000_i1076" DrawAspect="Content" ObjectID="_1545058815" r:id="rId72"/>
        </w:object>
      </w:r>
      <w:r w:rsidRPr="007063A2">
        <w:rPr>
          <w:rFonts w:eastAsia="Calibri"/>
          <w:lang w:val="en-US"/>
        </w:rPr>
        <w:t xml:space="preserve">4.2 × 109–1.2 × 1010 </w:t>
      </w:r>
      <w:r w:rsidRPr="004A0928">
        <w:rPr>
          <w:rFonts w:eastAsia="Calibri"/>
        </w:rPr>
        <w:t>см</w:t>
      </w:r>
      <w:r w:rsidRPr="007063A2">
        <w:rPr>
          <w:rFonts w:eastAsia="Calibri"/>
          <w:lang w:val="en-US"/>
        </w:rPr>
        <w:t xml:space="preserve">–3; the system Fulcher </w:t>
      </w:r>
      <w:r w:rsidRPr="004A0928">
        <w:rPr>
          <w:rFonts w:eastAsia="Calibri"/>
        </w:rPr>
        <w:object w:dxaOrig="1920" w:dyaOrig="440">
          <v:shape id="_x0000_i1077" type="#_x0000_t75" style="width:96pt;height:21.75pt">
            <v:imagedata r:id="rId73" o:title=""/>
          </v:shape>
        </w:object>
      </w:r>
      <w:r w:rsidRPr="007063A2">
        <w:rPr>
          <w:rFonts w:eastAsia="Calibri"/>
          <w:lang w:val="en-US"/>
        </w:rPr>
        <w:t xml:space="preserve"> can be used for spectroscopy diagnostics of the discharges at </w:t>
      </w:r>
      <w:r w:rsidRPr="004A0928">
        <w:rPr>
          <w:rFonts w:eastAsia="Calibri"/>
        </w:rPr>
        <w:object w:dxaOrig="240" w:dyaOrig="260">
          <v:shape id="_x0000_i1078" type="#_x0000_t75" style="width:12pt;height:12.75pt" o:ole="">
            <v:imagedata r:id="rId41" o:title=""/>
          </v:shape>
          <o:OLEObject Type="Embed" ProgID="Equation.DSMT4" ShapeID="_x0000_i1078" DrawAspect="Content" ObjectID="_1545058816" r:id="rId74"/>
        </w:object>
      </w:r>
      <w:r w:rsidRPr="007063A2">
        <w:rPr>
          <w:rFonts w:eastAsia="Calibri"/>
          <w:lang w:val="en-US"/>
        </w:rPr>
        <w:t xml:space="preserve"> = 0.3–2.5 Tor, </w:t>
      </w:r>
      <w:r w:rsidRPr="004A0928">
        <w:rPr>
          <w:rFonts w:eastAsia="Calibri"/>
        </w:rPr>
        <w:object w:dxaOrig="580" w:dyaOrig="279">
          <v:shape id="_x0000_i1079" type="#_x0000_t75" style="width:29.25pt;height:14.25pt" o:ole="">
            <v:imagedata r:id="rId39" o:title=""/>
          </v:shape>
          <o:OLEObject Type="Embed" ProgID="Equation.DSMT4" ShapeID="_x0000_i1079" DrawAspect="Content" ObjectID="_1545058817" r:id="rId75"/>
        </w:object>
      </w:r>
      <w:r w:rsidRPr="007063A2">
        <w:rPr>
          <w:rFonts w:eastAsia="Calibri"/>
          <w:lang w:val="en-US"/>
        </w:rPr>
        <w:t xml:space="preserve"> = 60 - 130 Td and </w:t>
      </w:r>
      <w:r w:rsidRPr="004A0928">
        <w:rPr>
          <w:rFonts w:eastAsia="Calibri"/>
        </w:rPr>
        <w:object w:dxaOrig="540" w:dyaOrig="360">
          <v:shape id="_x0000_i1080" type="#_x0000_t75" style="width:27pt;height:18pt" o:ole="">
            <v:imagedata r:id="rId32" o:title=""/>
          </v:shape>
          <o:OLEObject Type="Embed" ProgID="Equation.DSMT4" ShapeID="_x0000_i1080" DrawAspect="Content" ObjectID="_1545058818" r:id="rId76"/>
        </w:object>
      </w:r>
      <w:r w:rsidRPr="007063A2">
        <w:rPr>
          <w:rFonts w:eastAsia="Calibri"/>
          <w:lang w:val="en-US"/>
        </w:rPr>
        <w:t xml:space="preserve">4.0 × 109–6.5 × 1010 cm-3. </w:t>
      </w:r>
    </w:p>
    <w:p w:rsidR="007063A2" w:rsidRPr="007063A2" w:rsidRDefault="007063A2" w:rsidP="007063A2">
      <w:pPr>
        <w:pStyle w:val="Zv-bodyreport"/>
        <w:rPr>
          <w:lang w:val="en-US"/>
        </w:rPr>
      </w:pPr>
      <w:r w:rsidRPr="007063A2">
        <w:rPr>
          <w:lang w:val="en-US"/>
        </w:rPr>
        <w:t xml:space="preserve">The mechanism of the birth and death of hydrogen molecules in the triplet states </w:t>
      </w:r>
      <w:r w:rsidRPr="004A0928">
        <w:rPr>
          <w:rFonts w:eastAsia="Calibri"/>
        </w:rPr>
        <w:object w:dxaOrig="660" w:dyaOrig="380">
          <v:shape id="_x0000_i1081" type="#_x0000_t75" style="width:33pt;height:18.75pt">
            <v:imagedata r:id="rId9" o:title=""/>
          </v:shape>
        </w:object>
      </w:r>
      <w:r w:rsidRPr="007063A2">
        <w:rPr>
          <w:lang w:val="en-US"/>
        </w:rPr>
        <w:t xml:space="preserve"> is determined by the bulk collisional – radiative processes. For the metastable state </w:t>
      </w:r>
      <w:r w:rsidRPr="004A0928">
        <w:rPr>
          <w:rFonts w:eastAsia="Calibri"/>
        </w:rPr>
        <w:object w:dxaOrig="540" w:dyaOrig="380">
          <v:shape id="_x0000_i1082" type="#_x0000_t75" style="width:27pt;height:18.75pt">
            <v:imagedata r:id="rId35" o:title=""/>
          </v:shape>
        </w:object>
      </w:r>
      <w:r w:rsidRPr="007063A2">
        <w:rPr>
          <w:lang w:val="en-US"/>
        </w:rPr>
        <w:t xml:space="preserve"> of the hydrogen molecule it is necessary additionally to take into consideration the processes of collisional deactivation on the reactor walls. The electronic relaxation time of the populations of the triplet states </w:t>
      </w:r>
      <w:r w:rsidRPr="004A0928">
        <w:rPr>
          <w:rFonts w:eastAsia="Calibri"/>
        </w:rPr>
        <w:object w:dxaOrig="660" w:dyaOrig="380">
          <v:shape id="_x0000_i1083" type="#_x0000_t75" style="width:33pt;height:18.75pt">
            <v:imagedata r:id="rId9" o:title=""/>
          </v:shape>
        </w:object>
      </w:r>
      <w:r w:rsidRPr="007063A2">
        <w:rPr>
          <w:lang w:val="en-US"/>
        </w:rPr>
        <w:t xml:space="preserve"> and their mechanisms of birth and death differ from one state to another. The composition, number and hierarchy of the processes governing the birth and death of the triplet states </w:t>
      </w:r>
      <w:r w:rsidRPr="004A0928">
        <w:rPr>
          <w:rFonts w:eastAsia="Calibri"/>
        </w:rPr>
        <w:object w:dxaOrig="660" w:dyaOrig="380">
          <v:shape id="_x0000_i1084" type="#_x0000_t75" style="width:33pt;height:18.75pt">
            <v:imagedata r:id="rId9" o:title=""/>
          </v:shape>
        </w:object>
      </w:r>
      <w:r w:rsidRPr="007063A2">
        <w:rPr>
          <w:lang w:val="en-US"/>
        </w:rPr>
        <w:t xml:space="preserve"> depend on the time residence of hydrogen molecules in the discharge area.</w:t>
      </w:r>
    </w:p>
    <w:p w:rsidR="007063A2" w:rsidRPr="007063A2" w:rsidRDefault="007063A2" w:rsidP="007063A2">
      <w:pPr>
        <w:pStyle w:val="Zv-bodyreport"/>
        <w:rPr>
          <w:lang w:val="en-US"/>
        </w:rPr>
      </w:pPr>
      <w:r w:rsidRPr="007063A2">
        <w:rPr>
          <w:lang w:val="en-US"/>
        </w:rPr>
        <w:t xml:space="preserve">This work was supported by the Russian Foundation for Basic Research, project nos. </w:t>
      </w:r>
      <w:r w:rsidRPr="007063A2">
        <w:rPr>
          <w:rFonts w:eastAsia="Calibri"/>
          <w:lang w:val="en-US"/>
        </w:rPr>
        <w:t>15-08-00070</w:t>
      </w:r>
      <w:r w:rsidRPr="007063A2">
        <w:rPr>
          <w:lang w:val="en-US"/>
        </w:rPr>
        <w:t>.</w:t>
      </w:r>
    </w:p>
    <w:p w:rsidR="00654A7B" w:rsidRDefault="00654A7B">
      <w:pPr>
        <w:rPr>
          <w:lang w:val="en-US"/>
        </w:rPr>
      </w:pPr>
    </w:p>
    <w:sectPr w:rsidR="00654A7B" w:rsidSect="00F95123">
      <w:headerReference w:type="default" r:id="rId77"/>
      <w:footerReference w:type="even" r:id="rId78"/>
      <w:footerReference w:type="default" r:id="rId7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E1" w:rsidRDefault="006428E1">
      <w:r>
        <w:separator/>
      </w:r>
    </w:p>
  </w:endnote>
  <w:endnote w:type="continuationSeparator" w:id="0">
    <w:p w:rsidR="006428E1" w:rsidRDefault="00642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61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61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063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E1" w:rsidRDefault="006428E1">
      <w:r>
        <w:separator/>
      </w:r>
    </w:p>
  </w:footnote>
  <w:footnote w:type="continuationSeparator" w:id="0">
    <w:p w:rsidR="006428E1" w:rsidRDefault="00642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4161B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6428E1"/>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161BF"/>
    <w:rsid w:val="0043297E"/>
    <w:rsid w:val="00446025"/>
    <w:rsid w:val="004A77D1"/>
    <w:rsid w:val="004B72AA"/>
    <w:rsid w:val="004F4E29"/>
    <w:rsid w:val="00567C6F"/>
    <w:rsid w:val="00573BAD"/>
    <w:rsid w:val="0058676C"/>
    <w:rsid w:val="005F764D"/>
    <w:rsid w:val="006428E1"/>
    <w:rsid w:val="00654A7B"/>
    <w:rsid w:val="007063A2"/>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7063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image" Target="media/image25.wmf"/><Relationship Id="rId68" Type="http://schemas.openxmlformats.org/officeDocument/2006/relationships/oleObject" Target="embeddings/oleObject33.bin"/><Relationship Id="rId76" Type="http://schemas.openxmlformats.org/officeDocument/2006/relationships/oleObject" Target="embeddings/oleObject39.bin"/><Relationship Id="rId7" Type="http://schemas.openxmlformats.org/officeDocument/2006/relationships/hyperlink" Target="mailto:shakhatov@ips.ac.ru" TargetMode="External"/><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oleObject" Target="embeddings/oleObject31.bin"/><Relationship Id="rId74" Type="http://schemas.openxmlformats.org/officeDocument/2006/relationships/oleObject" Target="embeddings/oleObject37.bin"/><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3.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7.wmf"/><Relationship Id="rId73" Type="http://schemas.openxmlformats.org/officeDocument/2006/relationships/image" Target="media/image29.w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26.wmf"/><Relationship Id="rId69" Type="http://schemas.openxmlformats.org/officeDocument/2006/relationships/image" Target="media/image28.wmf"/><Relationship Id="rId77" Type="http://schemas.openxmlformats.org/officeDocument/2006/relationships/header" Target="header1.xml"/><Relationship Id="rId8" Type="http://schemas.openxmlformats.org/officeDocument/2006/relationships/hyperlink" Target="mailto:lebedev@ips.ac.ru" TargetMode="External"/><Relationship Id="rId51" Type="http://schemas.openxmlformats.org/officeDocument/2006/relationships/oleObject" Target="embeddings/oleObject26.bin"/><Relationship Id="rId72" Type="http://schemas.openxmlformats.org/officeDocument/2006/relationships/oleObject" Target="embeddings/oleObject36.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1.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oleObject" Target="embeddings/oleObject30.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4</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APPLICABILITY OF SPECTROSCOPY DIAGNOSTICS OF DC GLOW DISCHARGES TO STUDIES THE TRIPLET STATES OF MOLECULAR HYDROGEN</dc:title>
  <dc:subject/>
  <dc:creator/>
  <cp:keywords/>
  <dc:description/>
  <cp:lastModifiedBy>Сергей Сатунин</cp:lastModifiedBy>
  <cp:revision>1</cp:revision>
  <cp:lastPrinted>1601-01-01T00:00:00Z</cp:lastPrinted>
  <dcterms:created xsi:type="dcterms:W3CDTF">2017-01-04T15:06:00Z</dcterms:created>
  <dcterms:modified xsi:type="dcterms:W3CDTF">2017-01-04T15:11:00Z</dcterms:modified>
</cp:coreProperties>
</file>