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61" w:rsidRDefault="00437461" w:rsidP="00437461">
      <w:pPr>
        <w:pStyle w:val="Zv-Titlereport"/>
      </w:pPr>
      <w:bookmarkStart w:id="0" w:name="_Hlk468371682"/>
      <w:bookmarkStart w:id="1" w:name="OLE_LINK25"/>
      <w:bookmarkStart w:id="2" w:name="OLE_LINK26"/>
      <w:r>
        <w:t>Уравнение состояния плазмы с учетом объема ионных остовов</w:t>
      </w:r>
      <w:bookmarkEnd w:id="1"/>
      <w:bookmarkEnd w:id="2"/>
    </w:p>
    <w:p w:rsidR="00437461" w:rsidRDefault="00437461" w:rsidP="00437461">
      <w:pPr>
        <w:pStyle w:val="Zv-Author"/>
      </w:pPr>
      <w:r w:rsidRPr="00540838">
        <w:rPr>
          <w:u w:val="single"/>
        </w:rPr>
        <w:t>Калиткин</w:t>
      </w:r>
      <w:r w:rsidRPr="00CF5E45">
        <w:rPr>
          <w:u w:val="single"/>
        </w:rPr>
        <w:t xml:space="preserve"> </w:t>
      </w:r>
      <w:r w:rsidRPr="00540838">
        <w:rPr>
          <w:u w:val="single"/>
        </w:rPr>
        <w:t>Н.Н.</w:t>
      </w:r>
      <w:r>
        <w:t>, Козлитин</w:t>
      </w:r>
      <w:r w:rsidRPr="00CF5E45">
        <w:t xml:space="preserve"> </w:t>
      </w:r>
      <w:r>
        <w:t>И.А.</w:t>
      </w:r>
    </w:p>
    <w:p w:rsidR="00437461" w:rsidRPr="00CF5E45" w:rsidRDefault="00437461" w:rsidP="00437461">
      <w:pPr>
        <w:pStyle w:val="Zv-Organization"/>
      </w:pPr>
      <w:r>
        <w:t>Институт прикладной математики им. М.В. Келдыша РАН</w:t>
      </w:r>
      <w:r w:rsidRPr="00CF5E45">
        <w:t xml:space="preserve">, </w:t>
      </w:r>
      <w:r>
        <w:t>г. Москва, Россия</w:t>
      </w:r>
    </w:p>
    <w:bookmarkEnd w:id="0"/>
    <w:p w:rsidR="00437461" w:rsidRDefault="00437461" w:rsidP="00437461">
      <w:pPr>
        <w:pStyle w:val="Zv-bodyreport"/>
      </w:pPr>
      <w:r w:rsidRPr="00122D50">
        <w:rPr>
          <w:b/>
          <w:i/>
        </w:rPr>
        <w:t>Введение</w:t>
      </w:r>
      <w:r>
        <w:rPr>
          <w:b/>
          <w:i/>
        </w:rPr>
        <w:t>.</w:t>
      </w:r>
      <w:r>
        <w:t xml:space="preserve"> Уравнение состояния газовой плазмы можно описать моделью ионизационного равновесия (модель Саха). Высокую точность модели обеспечивает использование экспериментально измеренных потенциалов ионизации. Однако при сверхвысоких плотностях плазма переходит в жидкое состояние. При этом возникают следующие вопросы: каков вклад взаимодействия заряженных частиц и как учесть неточечность ионных остовов.</w:t>
      </w:r>
    </w:p>
    <w:p w:rsidR="00437461" w:rsidRPr="0080104D" w:rsidRDefault="00437461" w:rsidP="00437461">
      <w:pPr>
        <w:pStyle w:val="Zv-bodyreport"/>
      </w:pPr>
      <w:r w:rsidRPr="0080104D">
        <w:rPr>
          <w:b/>
          <w:i/>
        </w:rPr>
        <w:t>Взаимодействие зарядов</w:t>
      </w:r>
      <w:r>
        <w:t xml:space="preserve"> много лет вызывает дискуссии. Высказывались предположения о плазменных фазовых переходах, но эксперименты их не обнаружили. На самом деле следует учесть, что в плазме возникает микроскопическое флуктуирующее электрическое поле, обусловленное хаотическим тепловым движением зарядов. Электрическое поле имеет положительную энергию, которая компенсирует отрицательную энергию взаимодействия зарядов. Поэтому плазма остается идеальной даже при сверхвысоких плотностях.</w:t>
      </w:r>
    </w:p>
    <w:p w:rsidR="00437461" w:rsidRDefault="00437461" w:rsidP="00437461">
      <w:pPr>
        <w:pStyle w:val="Zv-bodyreport"/>
      </w:pPr>
      <w:r w:rsidRPr="00154FA1">
        <w:rPr>
          <w:b/>
          <w:i/>
        </w:rPr>
        <w:t>Учет ионных остовов.</w:t>
      </w:r>
      <w:r>
        <w:t xml:space="preserve"> Объем </w:t>
      </w:r>
      <w:r w:rsidRPr="003E34CA">
        <w:rPr>
          <w:position w:val="-6"/>
          <w:lang w:val="en-US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7" o:title=""/>
          </v:shape>
          <o:OLEObject Type="Embed" ProgID="Equation.DSMT4" ShapeID="_x0000_i1025" DrawAspect="Content" ObjectID="_1545230308" r:id="rId8"/>
        </w:object>
      </w:r>
      <w:r w:rsidRPr="00FC768F">
        <w:t>-</w:t>
      </w:r>
      <w:r>
        <w:t>кратного ионного остова</w:t>
      </w:r>
      <w:r w:rsidRPr="00560853">
        <w:t xml:space="preserve"> </w:t>
      </w:r>
      <w:r w:rsidRPr="003E34CA">
        <w:rPr>
          <w:position w:val="-12"/>
          <w:lang w:val="en-US"/>
        </w:rPr>
        <w:object w:dxaOrig="260" w:dyaOrig="360">
          <v:shape id="_x0000_i1026" type="#_x0000_t75" style="width:12.75pt;height:18pt" o:ole="">
            <v:imagedata r:id="rId9" o:title=""/>
          </v:shape>
          <o:OLEObject Type="Embed" ProgID="Equation.DSMT4" ShapeID="_x0000_i1026" DrawAspect="Content" ObjectID="_1545230309" r:id="rId10"/>
        </w:object>
      </w:r>
      <w:r>
        <w:t xml:space="preserve"> можно выразить через потенциал </w:t>
      </w:r>
      <w:r w:rsidRPr="003E34CA">
        <w:rPr>
          <w:position w:val="-10"/>
          <w:lang w:val="en-US"/>
        </w:rPr>
        <w:object w:dxaOrig="660" w:dyaOrig="320">
          <v:shape id="_x0000_i1027" type="#_x0000_t75" style="width:33pt;height:15.75pt" o:ole="">
            <v:imagedata r:id="rId11" o:title=""/>
          </v:shape>
          <o:OLEObject Type="Embed" ProgID="Equation.DSMT4" ShapeID="_x0000_i1027" DrawAspect="Content" ObjectID="_1545230310" r:id="rId12"/>
        </w:object>
      </w:r>
      <w:r w:rsidRPr="00FC768F">
        <w:t>-</w:t>
      </w:r>
      <w:r>
        <w:t xml:space="preserve">й ионизации. Это позволяет ввести объемы ионных остовов в функционал свободной энергии </w:t>
      </w:r>
      <w:r w:rsidRPr="003E34CA">
        <w:rPr>
          <w:position w:val="-10"/>
          <w:lang w:val="en-US"/>
        </w:rPr>
        <w:object w:dxaOrig="820" w:dyaOrig="320">
          <v:shape id="_x0000_i1028" type="#_x0000_t75" style="width:41.25pt;height:15.75pt" o:ole="">
            <v:imagedata r:id="rId13" o:title=""/>
          </v:shape>
          <o:OLEObject Type="Embed" ProgID="Equation.DSMT4" ShapeID="_x0000_i1028" DrawAspect="Content" ObjectID="_1545230311" r:id="rId14"/>
        </w:object>
      </w:r>
      <w:r>
        <w:t xml:space="preserve">. При этом в классическом функционале надо заменить объем атомной ячейки </w:t>
      </w:r>
      <w:r w:rsidRPr="003E34CA">
        <w:rPr>
          <w:position w:val="-6"/>
          <w:lang w:val="en-US"/>
        </w:rPr>
        <w:object w:dxaOrig="240" w:dyaOrig="279">
          <v:shape id="_x0000_i1029" type="#_x0000_t75" style="width:12pt;height:14.25pt" o:ole="">
            <v:imagedata r:id="rId15" o:title=""/>
          </v:shape>
          <o:OLEObject Type="Embed" ProgID="Equation.DSMT4" ShapeID="_x0000_i1029" DrawAspect="Content" ObjectID="_1545230312" r:id="rId16"/>
        </w:object>
      </w:r>
      <w:r w:rsidRPr="00560853">
        <w:t xml:space="preserve"> </w:t>
      </w:r>
      <w:r>
        <w:t xml:space="preserve">на </w:t>
      </w:r>
      <w:r w:rsidRPr="003E34CA">
        <w:rPr>
          <w:position w:val="-6"/>
          <w:lang w:val="en-US"/>
        </w:rPr>
        <w:object w:dxaOrig="560" w:dyaOrig="279">
          <v:shape id="_x0000_i1030" type="#_x0000_t75" style="width:27.75pt;height:14.25pt" o:ole="">
            <v:imagedata r:id="rId17" o:title=""/>
          </v:shape>
          <o:OLEObject Type="Embed" ProgID="Equation.DSMT4" ShapeID="_x0000_i1030" DrawAspect="Content" ObjectID="_1545230313" r:id="rId18"/>
        </w:object>
      </w:r>
      <w:r w:rsidRPr="00560853">
        <w:t xml:space="preserve">, </w:t>
      </w:r>
      <w:r>
        <w:t xml:space="preserve">где </w:t>
      </w:r>
      <w:r w:rsidRPr="003E34CA">
        <w:rPr>
          <w:position w:val="-14"/>
          <w:lang w:val="en-US"/>
        </w:rPr>
        <w:object w:dxaOrig="1120" w:dyaOrig="400">
          <v:shape id="_x0000_i1031" type="#_x0000_t75" style="width:56.25pt;height:20.25pt" o:ole="">
            <v:imagedata r:id="rId19" o:title=""/>
          </v:shape>
          <o:OLEObject Type="Embed" ProgID="Equation.DSMT4" ShapeID="_x0000_i1031" DrawAspect="Content" ObjectID="_1545230314" r:id="rId20"/>
        </w:object>
      </w:r>
      <w:r w:rsidRPr="00560853">
        <w:t xml:space="preserve"> </w:t>
      </w:r>
      <w:r>
        <w:t>есть суммарный объем всех остовов (</w:t>
      </w:r>
      <w:r w:rsidRPr="003E34CA">
        <w:rPr>
          <w:position w:val="-12"/>
          <w:lang w:val="en-US"/>
        </w:rPr>
        <w:object w:dxaOrig="260" w:dyaOrig="360">
          <v:shape id="_x0000_i1032" type="#_x0000_t75" style="width:12.75pt;height:18pt" o:ole="">
            <v:imagedata r:id="rId21" o:title=""/>
          </v:shape>
          <o:OLEObject Type="Embed" ProgID="Equation.DSMT4" ShapeID="_x0000_i1032" DrawAspect="Content" ObjectID="_1545230315" r:id="rId22"/>
        </w:object>
      </w:r>
      <w:r w:rsidRPr="003E34CA">
        <w:t xml:space="preserve"> </w:t>
      </w:r>
      <w:r>
        <w:t>—</w:t>
      </w:r>
      <w:r w:rsidRPr="00B02188">
        <w:t xml:space="preserve"> </w:t>
      </w:r>
      <w:r>
        <w:t xml:space="preserve">доля </w:t>
      </w:r>
      <w:r w:rsidRPr="003E34CA">
        <w:rPr>
          <w:position w:val="-6"/>
          <w:lang w:val="en-US"/>
        </w:rPr>
        <w:object w:dxaOrig="200" w:dyaOrig="279">
          <v:shape id="_x0000_i1033" type="#_x0000_t75" style="width:9.75pt;height:14.25pt" o:ole="">
            <v:imagedata r:id="rId7" o:title=""/>
          </v:shape>
          <o:OLEObject Type="Embed" ProgID="Equation.DSMT4" ShapeID="_x0000_i1033" DrawAspect="Content" ObjectID="_1545230316" r:id="rId23"/>
        </w:object>
      </w:r>
      <w:r>
        <w:t>-кратных ионов). Свободные электроны предполагаются не классическими, а частично вырожденными.</w:t>
      </w:r>
    </w:p>
    <w:p w:rsidR="00437461" w:rsidRDefault="00437461" w:rsidP="00437461">
      <w:pPr>
        <w:pStyle w:val="Zv-bodyreport"/>
      </w:pPr>
      <w:r w:rsidRPr="006A0763">
        <w:rPr>
          <w:b/>
          <w:i/>
        </w:rPr>
        <w:t>Расчеты</w:t>
      </w:r>
      <w:r>
        <w:t xml:space="preserve"> по предложенной модели проводились для многоэлектронных атомов. Оказалось, что область применимости модели Саха при этом кардинально расширилась. Модель стала давать физически разумные результаты даже при сверхвысоких плотностях и низких температурах, где плазма перешла из газового состояния в жидкое. Ранее в этой области использовалась модель Томаса-Ферми с квантовой и обменной поправками (ТФП). Теперь термодинамические функции модели Саха сильно сблизились с моделью ТФП.</w:t>
      </w:r>
    </w:p>
    <w:p w:rsidR="00437461" w:rsidRDefault="00437461" w:rsidP="00437461">
      <w:pPr>
        <w:pStyle w:val="Zv-bodyreport"/>
      </w:pPr>
      <w:r>
        <w:t xml:space="preserve">Примером такого сближения являются изотермы степени ионизации </w:t>
      </w:r>
      <w:r w:rsidRPr="00AB1B10">
        <w:rPr>
          <w:position w:val="-12"/>
          <w:lang w:val="en-US"/>
        </w:rPr>
        <w:object w:dxaOrig="260" w:dyaOrig="360">
          <v:shape id="_x0000_i1034" type="#_x0000_t75" style="width:12.75pt;height:18pt" o:ole="">
            <v:imagedata r:id="rId24" o:title=""/>
          </v:shape>
          <o:OLEObject Type="Embed" ProgID="Equation.DSMT4" ShapeID="_x0000_i1034" DrawAspect="Content" ObjectID="_1545230317" r:id="rId25"/>
        </w:object>
      </w:r>
      <w:r w:rsidRPr="00AC048D">
        <w:t xml:space="preserve"> </w:t>
      </w:r>
      <w:r>
        <w:t xml:space="preserve">или давления </w:t>
      </w:r>
      <w:r w:rsidRPr="00AB1B10">
        <w:rPr>
          <w:position w:val="-10"/>
          <w:lang w:val="en-US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545230318" r:id="rId27"/>
        </w:object>
      </w:r>
      <w:r w:rsidRPr="00AC048D">
        <w:t xml:space="preserve"> </w:t>
      </w:r>
      <w:r>
        <w:t xml:space="preserve">при </w:t>
      </w:r>
      <w:r w:rsidRPr="003E34CA">
        <w:rPr>
          <w:position w:val="-6"/>
          <w:lang w:val="en-US"/>
        </w:rPr>
        <w:object w:dxaOrig="680" w:dyaOrig="279">
          <v:shape id="_x0000_i1036" type="#_x0000_t75" style="width:33.75pt;height:14.25pt" o:ole="">
            <v:imagedata r:id="rId28" o:title=""/>
          </v:shape>
          <o:OLEObject Type="Embed" ProgID="Equation.DSMT4" ShapeID="_x0000_i1036" DrawAspect="Content" ObjectID="_1545230319" r:id="rId29"/>
        </w:object>
      </w:r>
      <w:r>
        <w:t xml:space="preserve">. Пока объем ионной ячейки </w:t>
      </w:r>
      <w:r w:rsidRPr="00122B53">
        <w:rPr>
          <w:position w:val="-6"/>
          <w:lang w:val="en-US"/>
        </w:rPr>
        <w:object w:dxaOrig="240" w:dyaOrig="279">
          <v:shape id="_x0000_i1037" type="#_x0000_t75" style="width:12pt;height:14.25pt" o:ole="">
            <v:imagedata r:id="rId30" o:title=""/>
          </v:shape>
          <o:OLEObject Type="Embed" ProgID="Equation.DSMT4" ShapeID="_x0000_i1037" DrawAspect="Content" ObjectID="_1545230320" r:id="rId31"/>
        </w:object>
      </w:r>
      <w:r w:rsidRPr="00122B53">
        <w:t xml:space="preserve"> </w:t>
      </w:r>
      <w:r>
        <w:t xml:space="preserve">больше </w:t>
      </w:r>
      <w:r w:rsidRPr="000C13B5">
        <w:rPr>
          <w:position w:val="-12"/>
        </w:rPr>
        <w:object w:dxaOrig="240" w:dyaOrig="360">
          <v:shape id="_x0000_i1038" type="#_x0000_t75" style="width:12pt;height:18pt" o:ole="">
            <v:imagedata r:id="rId32" o:title=""/>
          </v:shape>
          <o:OLEObject Type="Embed" ProgID="Equation.DSMT4" ShapeID="_x0000_i1038" DrawAspect="Content" ObjectID="_1545230321" r:id="rId33"/>
        </w:object>
      </w:r>
      <w:r w:rsidRPr="006C312D">
        <w:t xml:space="preserve"> </w:t>
      </w:r>
      <w:r>
        <w:t xml:space="preserve">– объема нейтрального атома, модель дает </w:t>
      </w:r>
      <w:r w:rsidRPr="00AB1B10">
        <w:rPr>
          <w:position w:val="-12"/>
          <w:lang w:val="en-US"/>
        </w:rPr>
        <w:object w:dxaOrig="639" w:dyaOrig="360">
          <v:shape id="_x0000_i1039" type="#_x0000_t75" style="width:32.25pt;height:18pt" o:ole="">
            <v:imagedata r:id="rId34" o:title=""/>
          </v:shape>
          <o:OLEObject Type="Embed" ProgID="Equation.DSMT4" ShapeID="_x0000_i1039" DrawAspect="Content" ObjectID="_1545230322" r:id="rId35"/>
        </w:object>
      </w:r>
      <w:r w:rsidRPr="003C1FD6">
        <w:t xml:space="preserve">, </w:t>
      </w:r>
      <w:r w:rsidRPr="00AB1B10">
        <w:rPr>
          <w:position w:val="-10"/>
          <w:lang w:val="en-US"/>
        </w:rPr>
        <w:object w:dxaOrig="580" w:dyaOrig="320">
          <v:shape id="_x0000_i1040" type="#_x0000_t75" style="width:29.25pt;height:15.75pt" o:ole="">
            <v:imagedata r:id="rId36" o:title=""/>
          </v:shape>
          <o:OLEObject Type="Embed" ProgID="Equation.DSMT4" ShapeID="_x0000_i1040" DrawAspect="Content" ObjectID="_1545230323" r:id="rId37"/>
        </w:object>
      </w:r>
      <w:r w:rsidRPr="003C1FD6">
        <w:t xml:space="preserve">. </w:t>
      </w:r>
      <w:r>
        <w:t xml:space="preserve">При </w:t>
      </w:r>
      <w:r w:rsidRPr="00AB1B10">
        <w:rPr>
          <w:position w:val="-12"/>
          <w:lang w:val="en-US"/>
        </w:rPr>
        <w:object w:dxaOrig="639" w:dyaOrig="360">
          <v:shape id="_x0000_i1041" type="#_x0000_t75" style="width:32.25pt;height:18pt" o:ole="">
            <v:imagedata r:id="rId38" o:title=""/>
          </v:shape>
          <o:OLEObject Type="Embed" ProgID="Equation.DSMT4" ShapeID="_x0000_i1041" DrawAspect="Content" ObjectID="_1545230324" r:id="rId39"/>
        </w:object>
      </w:r>
      <w:r>
        <w:t xml:space="preserve"> появляются ненулевые </w:t>
      </w:r>
      <w:r w:rsidRPr="00AB1B10">
        <w:rPr>
          <w:position w:val="-12"/>
          <w:lang w:val="en-US"/>
        </w:rPr>
        <w:object w:dxaOrig="600" w:dyaOrig="360">
          <v:shape id="_x0000_i1042" type="#_x0000_t75" style="width:30pt;height:18pt" o:ole="">
            <v:imagedata r:id="rId40" o:title=""/>
          </v:shape>
          <o:OLEObject Type="Embed" ProgID="Equation.DSMT4" ShapeID="_x0000_i1042" DrawAspect="Content" ObjectID="_1545230325" r:id="rId41"/>
        </w:object>
      </w:r>
      <w:r w:rsidRPr="000F206C">
        <w:t xml:space="preserve"> </w:t>
      </w:r>
      <w:r>
        <w:t xml:space="preserve">и </w:t>
      </w:r>
      <w:r w:rsidRPr="00AB1B10">
        <w:rPr>
          <w:position w:val="-10"/>
          <w:lang w:val="en-US"/>
        </w:rPr>
        <w:object w:dxaOrig="560" w:dyaOrig="320">
          <v:shape id="_x0000_i1043" type="#_x0000_t75" style="width:27.75pt;height:15.75pt" o:ole="">
            <v:imagedata r:id="rId42" o:title=""/>
          </v:shape>
          <o:OLEObject Type="Embed" ProgID="Equation.DSMT4" ShapeID="_x0000_i1043" DrawAspect="Content" ObjectID="_1545230326" r:id="rId43"/>
        </w:object>
      </w:r>
      <w:r w:rsidRPr="000F206C">
        <w:t xml:space="preserve">, </w:t>
      </w:r>
      <w:r>
        <w:t xml:space="preserve">монотонно возрастающие при убывании </w:t>
      </w:r>
      <w:r w:rsidRPr="00AB1B10">
        <w:rPr>
          <w:position w:val="-6"/>
          <w:lang w:val="en-US"/>
        </w:rPr>
        <w:object w:dxaOrig="240" w:dyaOrig="279">
          <v:shape id="_x0000_i1044" type="#_x0000_t75" style="width:12pt;height:14.25pt" o:ole="">
            <v:imagedata r:id="rId44" o:title=""/>
          </v:shape>
          <o:OLEObject Type="Embed" ProgID="Equation.DSMT4" ShapeID="_x0000_i1044" DrawAspect="Content" ObjectID="_1545230327" r:id="rId45"/>
        </w:object>
      </w:r>
      <w:r w:rsidRPr="00E24F2C">
        <w:t xml:space="preserve">. </w:t>
      </w:r>
      <w:r>
        <w:t xml:space="preserve">Таким образом, модель Саха с неточечными ионами описывает явление холодной ионизации сжатием. При этом сами зависимости </w:t>
      </w:r>
      <w:r w:rsidRPr="00AB1B10">
        <w:rPr>
          <w:position w:val="-12"/>
          <w:lang w:val="en-US"/>
        </w:rPr>
        <w:object w:dxaOrig="600" w:dyaOrig="360">
          <v:shape id="_x0000_i1045" type="#_x0000_t75" style="width:30pt;height:18pt" o:ole="">
            <v:imagedata r:id="rId40" o:title=""/>
          </v:shape>
          <o:OLEObject Type="Embed" ProgID="Equation.DSMT4" ShapeID="_x0000_i1045" DrawAspect="Content" ObjectID="_1545230328" r:id="rId46"/>
        </w:object>
      </w:r>
      <w:r w:rsidRPr="004C2BD7">
        <w:t xml:space="preserve"> </w:t>
      </w:r>
      <w:r>
        <w:t xml:space="preserve">и </w:t>
      </w:r>
      <w:r w:rsidRPr="00AB1B10">
        <w:rPr>
          <w:position w:val="-10"/>
          <w:lang w:val="en-US"/>
        </w:rPr>
        <w:object w:dxaOrig="560" w:dyaOrig="320">
          <v:shape id="_x0000_i1046" type="#_x0000_t75" style="width:27.75pt;height:15.75pt" o:ole="">
            <v:imagedata r:id="rId42" o:title=""/>
          </v:shape>
          <o:OLEObject Type="Embed" ProgID="Equation.DSMT4" ShapeID="_x0000_i1046" DrawAspect="Content" ObjectID="_1545230329" r:id="rId47"/>
        </w:object>
      </w:r>
      <w:r w:rsidRPr="004C2BD7">
        <w:t xml:space="preserve"> </w:t>
      </w:r>
      <w:r>
        <w:t>оказываются близкими к соответствующим кривым модели ТФП.</w:t>
      </w:r>
    </w:p>
    <w:p w:rsidR="00437461" w:rsidRDefault="00437461" w:rsidP="00437461">
      <w:pPr>
        <w:pStyle w:val="Zv-bodyreport"/>
      </w:pPr>
      <w:r w:rsidRPr="005754AD">
        <w:rPr>
          <w:b/>
          <w:i/>
        </w:rPr>
        <w:t>Склейка</w:t>
      </w:r>
      <w:r>
        <w:t xml:space="preserve"> моделей ТФП и Саха для построения широкодиапазонного уравнения состояния была предложена в </w:t>
      </w:r>
      <w:r w:rsidRPr="005754AD">
        <w:t>[2]</w:t>
      </w:r>
      <w:r>
        <w:t>. Данное усовершенствование модели Саха существенно повышает точность такого широкодиапазонного уравнения состояния. При этом построенное уравнение состояния является полностью термодинамически согласованным, то есть все термодинамические функции строго удовлетворяют всем термодинамическим соотношениям.</w:t>
      </w:r>
    </w:p>
    <w:p w:rsidR="00437461" w:rsidRDefault="00437461" w:rsidP="00437461">
      <w:pPr>
        <w:pStyle w:val="Zv-bodyreport"/>
      </w:pPr>
      <w:r>
        <w:t xml:space="preserve">Согласованность является преимуществом данного уравнения состояния по сравнению с известной библиотекой </w:t>
      </w:r>
      <w:r>
        <w:rPr>
          <w:lang w:val="en-US"/>
        </w:rPr>
        <w:t>SESAME</w:t>
      </w:r>
      <w:r w:rsidRPr="00631731">
        <w:t xml:space="preserve"> (</w:t>
      </w:r>
      <w:r>
        <w:t>Лос-Аламос</w:t>
      </w:r>
      <w:r w:rsidRPr="00631731">
        <w:t>)</w:t>
      </w:r>
      <w:r>
        <w:t xml:space="preserve">: в </w:t>
      </w:r>
      <w:r>
        <w:rPr>
          <w:lang w:val="en-US"/>
        </w:rPr>
        <w:t>SESAME</w:t>
      </w:r>
      <w:r w:rsidRPr="00631731">
        <w:t xml:space="preserve"> </w:t>
      </w:r>
      <w:r>
        <w:t>термодинамические соотношения сильно нарушаются на границах сшивания различных моделей.</w:t>
      </w:r>
    </w:p>
    <w:p w:rsidR="00437461" w:rsidRDefault="00437461" w:rsidP="00437461">
      <w:pPr>
        <w:pStyle w:val="Zv-TitleReferences-ru"/>
      </w:pPr>
      <w:r>
        <w:t>Литература</w:t>
      </w:r>
    </w:p>
    <w:p w:rsidR="00437461" w:rsidRPr="00CF5E45" w:rsidRDefault="00437461" w:rsidP="00437461">
      <w:pPr>
        <w:pStyle w:val="Zv-References-ru"/>
      </w:pPr>
      <w:r w:rsidRPr="00CF5E45">
        <w:t>Калиткин Н.Н., Козлитин И.А. Модель Саха с неточечными ионами // ДАН, 471:5 (2016). В печати.</w:t>
      </w:r>
    </w:p>
    <w:p w:rsidR="00437461" w:rsidRPr="00CF5E45" w:rsidRDefault="00437461" w:rsidP="00437461">
      <w:pPr>
        <w:pStyle w:val="Zv-References-ru"/>
      </w:pPr>
      <w:r w:rsidRPr="00CF5E45">
        <w:t>Калиткин Н.Н., Луцкий К.И. // ДАН, 457:2 (2014), 157–161.</w:t>
      </w:r>
    </w:p>
    <w:sectPr w:rsidR="00437461" w:rsidRPr="00CF5E45" w:rsidSect="00F95123">
      <w:headerReference w:type="default" r:id="rId48"/>
      <w:footerReference w:type="even" r:id="rId49"/>
      <w:footerReference w:type="default" r:id="rId5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D5E" w:rsidRDefault="00BC1D5E">
      <w:r>
        <w:separator/>
      </w:r>
    </w:p>
  </w:endnote>
  <w:endnote w:type="continuationSeparator" w:id="0">
    <w:p w:rsidR="00BC1D5E" w:rsidRDefault="00BC1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746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D5E" w:rsidRDefault="00BC1D5E">
      <w:r>
        <w:separator/>
      </w:r>
    </w:p>
  </w:footnote>
  <w:footnote w:type="continuationSeparator" w:id="0">
    <w:p w:rsidR="00BC1D5E" w:rsidRDefault="00BC1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44D55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582628E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2B0CCD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1D5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37461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44D55"/>
    <w:rsid w:val="00930480"/>
    <w:rsid w:val="0094051A"/>
    <w:rsid w:val="00953341"/>
    <w:rsid w:val="009D46CB"/>
    <w:rsid w:val="00AB58B3"/>
    <w:rsid w:val="00B622ED"/>
    <w:rsid w:val="00B9584E"/>
    <w:rsid w:val="00BC1716"/>
    <w:rsid w:val="00BC1D5E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Уравнение состояния плазмы с учетом объема ионных остовов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2017-01-06T14:50:00Z</dcterms:created>
  <dcterms:modified xsi:type="dcterms:W3CDTF">2017-01-06T14:52:00Z</dcterms:modified>
</cp:coreProperties>
</file>