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73" w:rsidRDefault="006E7073" w:rsidP="006E7073">
      <w:pPr>
        <w:pStyle w:val="Zv-Titlereport"/>
        <w:spacing w:line="216" w:lineRule="auto"/>
      </w:pPr>
      <w:bookmarkStart w:id="0" w:name="_Hlk468372837"/>
      <w:bookmarkStart w:id="1" w:name="OLE_LINK29"/>
      <w:bookmarkStart w:id="2" w:name="OLE_LINK30"/>
      <w:r>
        <w:t>Уточнение скоростей термоядерных реакций</w:t>
      </w:r>
      <w:bookmarkEnd w:id="1"/>
      <w:bookmarkEnd w:id="2"/>
    </w:p>
    <w:p w:rsidR="006E7073" w:rsidRPr="00654B82" w:rsidRDefault="006E7073" w:rsidP="006E7073">
      <w:pPr>
        <w:pStyle w:val="Zv-Author"/>
        <w:spacing w:line="216" w:lineRule="auto"/>
      </w:pPr>
      <w:r w:rsidRPr="001244AF">
        <w:rPr>
          <w:u w:val="single"/>
        </w:rPr>
        <w:t>Белов</w:t>
      </w:r>
      <w:r w:rsidRPr="00654B82">
        <w:rPr>
          <w:u w:val="single"/>
        </w:rPr>
        <w:t xml:space="preserve"> </w:t>
      </w:r>
      <w:r w:rsidRPr="001244AF">
        <w:rPr>
          <w:u w:val="single"/>
        </w:rPr>
        <w:t>А.А.</w:t>
      </w:r>
      <w:r>
        <w:t xml:space="preserve">, </w:t>
      </w:r>
      <w:r w:rsidRPr="006E7073">
        <w:rPr>
          <w:vertAlign w:val="superscript"/>
        </w:rPr>
        <w:t>1</w:t>
      </w:r>
      <w:r>
        <w:t>Калиткин</w:t>
      </w:r>
      <w:r w:rsidRPr="00654B82">
        <w:t xml:space="preserve"> </w:t>
      </w:r>
      <w:r>
        <w:t xml:space="preserve">Н.Н. </w:t>
      </w:r>
    </w:p>
    <w:p w:rsidR="006E7073" w:rsidRDefault="006E7073" w:rsidP="006E7073">
      <w:pPr>
        <w:pStyle w:val="Zv-Organization"/>
        <w:spacing w:line="216" w:lineRule="auto"/>
      </w:pPr>
      <w:r>
        <w:t>Московский государственный университет им. М.В. Ломоносова</w:t>
      </w:r>
      <w:r w:rsidRPr="00654B82">
        <w:rPr>
          <w:szCs w:val="24"/>
        </w:rPr>
        <w:t xml:space="preserve">, </w:t>
      </w:r>
      <w:r>
        <w:rPr>
          <w:szCs w:val="24"/>
        </w:rPr>
        <w:t>г</w:t>
      </w:r>
      <w:r w:rsidRPr="00654B82">
        <w:rPr>
          <w:szCs w:val="24"/>
        </w:rPr>
        <w:t xml:space="preserve">. </w:t>
      </w:r>
      <w:r w:rsidRPr="00A74BBA">
        <w:rPr>
          <w:szCs w:val="24"/>
        </w:rPr>
        <w:t>Москва</w:t>
      </w:r>
      <w:r w:rsidRPr="00654B82">
        <w:rPr>
          <w:szCs w:val="24"/>
        </w:rPr>
        <w:t xml:space="preserve">, </w:t>
      </w:r>
      <w:r w:rsidRPr="00A74BBA">
        <w:rPr>
          <w:szCs w:val="24"/>
        </w:rPr>
        <w:t>Россия</w:t>
      </w:r>
      <w:r>
        <w:br/>
      </w:r>
      <w:r>
        <w:rPr>
          <w:vertAlign w:val="superscript"/>
        </w:rPr>
        <w:t>1</w:t>
      </w:r>
      <w:r>
        <w:t>Институт прикладной математики им. М.В. Келдыша РАН</w:t>
      </w:r>
      <w:r w:rsidRPr="00654B82">
        <w:rPr>
          <w:szCs w:val="24"/>
        </w:rPr>
        <w:t xml:space="preserve">, </w:t>
      </w:r>
      <w:r>
        <w:rPr>
          <w:szCs w:val="24"/>
        </w:rPr>
        <w:t>г</w:t>
      </w:r>
      <w:r w:rsidRPr="00654B82">
        <w:rPr>
          <w:szCs w:val="24"/>
        </w:rPr>
        <w:t xml:space="preserve">. </w:t>
      </w:r>
      <w:r w:rsidRPr="00A74BBA">
        <w:rPr>
          <w:szCs w:val="24"/>
        </w:rPr>
        <w:t>Москва</w:t>
      </w:r>
      <w:r w:rsidRPr="00654B82">
        <w:rPr>
          <w:szCs w:val="24"/>
        </w:rPr>
        <w:t xml:space="preserve">, </w:t>
      </w:r>
      <w:r w:rsidRPr="00A74BBA">
        <w:rPr>
          <w:szCs w:val="24"/>
        </w:rPr>
        <w:t>Россия</w:t>
      </w:r>
    </w:p>
    <w:bookmarkEnd w:id="0"/>
    <w:p w:rsidR="006E7073" w:rsidRDefault="006E7073" w:rsidP="006E7073">
      <w:pPr>
        <w:pStyle w:val="Zv-bodyreport"/>
      </w:pPr>
      <w:r w:rsidRPr="00122D50">
        <w:rPr>
          <w:b/>
          <w:i/>
        </w:rPr>
        <w:t>Введение</w:t>
      </w:r>
      <w:r>
        <w:rPr>
          <w:b/>
          <w:i/>
        </w:rPr>
        <w:t>.</w:t>
      </w:r>
      <w:r>
        <w:t xml:space="preserve"> Для расчета задач управляемого термоядерного синтеза требуется знать зависимости скоростей термоядерных реакций</w:t>
      </w:r>
      <w:r w:rsidRPr="00D20248">
        <w:t xml:space="preserve"> </w:t>
      </w:r>
      <w:r w:rsidRPr="00D20248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7" o:title=""/>
          </v:shape>
          <o:OLEObject Type="Embed" ProgID="Equation.DSMT4" ShapeID="_x0000_i1025" DrawAspect="Content" ObjectID="_1544991929" r:id="rId8"/>
        </w:object>
      </w:r>
      <w:r w:rsidRPr="00122D50">
        <w:t xml:space="preserve"> </w:t>
      </w:r>
      <w:r>
        <w:t xml:space="preserve">от температуры. Эти скорости получают из экспериментально измеренных зависимостей сечений реакций </w:t>
      </w:r>
      <w:r w:rsidRPr="00D20248">
        <w:rPr>
          <w:position w:val="-10"/>
        </w:rPr>
        <w:object w:dxaOrig="580" w:dyaOrig="320">
          <v:shape id="_x0000_i1026" type="#_x0000_t75" style="width:29.25pt;height:15.75pt" o:ole="">
            <v:imagedata r:id="rId9" o:title=""/>
          </v:shape>
          <o:OLEObject Type="Embed" ProgID="Equation.DSMT4" ShapeID="_x0000_i1026" DrawAspect="Content" ObjectID="_1544991930" r:id="rId10"/>
        </w:object>
      </w:r>
      <w:r w:rsidRPr="00122D50">
        <w:t xml:space="preserve"> </w:t>
      </w:r>
      <w:r>
        <w:t xml:space="preserve">от энергии. Существует много экспериментальных работ </w:t>
      </w:r>
      <w:r w:rsidRPr="0062739E">
        <w:t>[1]</w:t>
      </w:r>
      <w:r>
        <w:t>, но точность большинства из них невелика. Это видно из большого расхождения различных работ.</w:t>
      </w:r>
    </w:p>
    <w:p w:rsidR="006E7073" w:rsidRPr="00EB22E2" w:rsidRDefault="006E7073" w:rsidP="006E7073">
      <w:pPr>
        <w:pStyle w:val="Zv-bodyreport"/>
      </w:pPr>
      <w:r>
        <w:t xml:space="preserve">При традиционной обработке сечений </w:t>
      </w:r>
      <w:r w:rsidRPr="0062739E">
        <w:t>[2]</w:t>
      </w:r>
      <w:r>
        <w:t xml:space="preserve"> выбирают априорную зависимость </w:t>
      </w:r>
      <w:r w:rsidRPr="00D20248">
        <w:rPr>
          <w:position w:val="-10"/>
        </w:rPr>
        <w:object w:dxaOrig="580" w:dyaOrig="320">
          <v:shape id="_x0000_i1027" type="#_x0000_t75" style="width:29.25pt;height:15.75pt" o:ole="">
            <v:imagedata r:id="rId9" o:title=""/>
          </v:shape>
          <o:OLEObject Type="Embed" ProgID="Equation.DSMT4" ShapeID="_x0000_i1027" DrawAspect="Content" ObjectID="_1544991931" r:id="rId11"/>
        </w:object>
      </w:r>
      <w:r w:rsidRPr="00423289">
        <w:t xml:space="preserve"> </w:t>
      </w:r>
      <w:r>
        <w:t xml:space="preserve">с некоторым числом свободных параметров. Значения параметров подбирают методом наименьших квадратов. Надежность этого способа зависит от того, удачно ли выбрана формула </w:t>
      </w:r>
      <w:r w:rsidRPr="00D20248">
        <w:rPr>
          <w:position w:val="-10"/>
        </w:rPr>
        <w:object w:dxaOrig="580" w:dyaOrig="320">
          <v:shape id="_x0000_i1028" type="#_x0000_t75" style="width:29.25pt;height:15.75pt" o:ole="">
            <v:imagedata r:id="rId9" o:title=""/>
          </v:shape>
          <o:OLEObject Type="Embed" ProgID="Equation.DSMT4" ShapeID="_x0000_i1028" DrawAspect="Content" ObjectID="_1544991932" r:id="rId12"/>
        </w:object>
      </w:r>
      <w:r w:rsidRPr="0048373D">
        <w:t xml:space="preserve">. </w:t>
      </w:r>
      <w:r>
        <w:t xml:space="preserve">Практически удовлетворительную точность удается получить при </w:t>
      </w:r>
      <w:r w:rsidRPr="00CF4C17">
        <w:rPr>
          <w:position w:val="-6"/>
        </w:rPr>
        <w:object w:dxaOrig="820" w:dyaOrig="279">
          <v:shape id="_x0000_i1029" type="#_x0000_t75" style="width:41.25pt;height:14.25pt" o:ole="">
            <v:imagedata r:id="rId13" o:title=""/>
          </v:shape>
          <o:OLEObject Type="Embed" ProgID="Equation.DSMT4" ShapeID="_x0000_i1029" DrawAspect="Content" ObjectID="_1544991933" r:id="rId14"/>
        </w:object>
      </w:r>
      <w:r>
        <w:t xml:space="preserve">кэВ, а при </w:t>
      </w:r>
      <w:r w:rsidRPr="00CF4C17">
        <w:rPr>
          <w:position w:val="-6"/>
        </w:rPr>
        <w:object w:dxaOrig="820" w:dyaOrig="279">
          <v:shape id="_x0000_i1030" type="#_x0000_t75" style="width:41.25pt;height:14.25pt" o:ole="">
            <v:imagedata r:id="rId15" o:title=""/>
          </v:shape>
          <o:OLEObject Type="Embed" ProgID="Equation.DSMT4" ShapeID="_x0000_i1030" DrawAspect="Content" ObjectID="_1544991934" r:id="rId16"/>
        </w:object>
      </w:r>
      <w:r>
        <w:t>кэВ результаты неудовлетворительные. Поэтому нужно провести новую обработку экспериментов, используя возможности современных математических методов.</w:t>
      </w:r>
    </w:p>
    <w:p w:rsidR="006E7073" w:rsidRPr="00CF2255" w:rsidRDefault="006E7073" w:rsidP="006E7073">
      <w:pPr>
        <w:pStyle w:val="Zv-bodyreport"/>
      </w:pPr>
      <w:r w:rsidRPr="00065189">
        <w:rPr>
          <w:b/>
          <w:i/>
        </w:rPr>
        <w:t>База сечений.</w:t>
      </w:r>
      <w:r>
        <w:t xml:space="preserve"> Рассмотрены 4 важнейших реакции: </w:t>
      </w:r>
      <w:r w:rsidRPr="00D20248">
        <w:rPr>
          <w:position w:val="-10"/>
        </w:rPr>
        <w:object w:dxaOrig="1340" w:dyaOrig="320">
          <v:shape id="_x0000_i1031" type="#_x0000_t75" style="width:66.75pt;height:15.75pt" o:ole="">
            <v:imagedata r:id="rId17" o:title=""/>
          </v:shape>
          <o:OLEObject Type="Embed" ProgID="Equation.DSMT4" ShapeID="_x0000_i1031" DrawAspect="Content" ObjectID="_1544991935" r:id="rId18"/>
        </w:object>
      </w:r>
      <w:r>
        <w:t xml:space="preserve">, </w:t>
      </w:r>
      <w:r w:rsidRPr="00CC5D71">
        <w:rPr>
          <w:position w:val="-6"/>
        </w:rPr>
        <w:object w:dxaOrig="1520" w:dyaOrig="320">
          <v:shape id="_x0000_i1032" type="#_x0000_t75" style="width:75.75pt;height:15.75pt" o:ole="">
            <v:imagedata r:id="rId19" o:title=""/>
          </v:shape>
          <o:OLEObject Type="Embed" ProgID="Equation.DSMT4" ShapeID="_x0000_i1032" DrawAspect="Content" ObjectID="_1544991936" r:id="rId20"/>
        </w:object>
      </w:r>
      <w:r>
        <w:t xml:space="preserve">, </w:t>
      </w:r>
      <w:r w:rsidRPr="00CC5D71">
        <w:rPr>
          <w:position w:val="-6"/>
        </w:rPr>
        <w:object w:dxaOrig="1500" w:dyaOrig="320">
          <v:shape id="_x0000_i1033" type="#_x0000_t75" style="width:75pt;height:15.75pt" o:ole="">
            <v:imagedata r:id="rId21" o:title=""/>
          </v:shape>
          <o:OLEObject Type="Embed" ProgID="Equation.DSMT4" ShapeID="_x0000_i1033" DrawAspect="Content" ObjectID="_1544991937" r:id="rId22"/>
        </w:object>
      </w:r>
      <w:r>
        <w:t xml:space="preserve">, </w:t>
      </w:r>
      <w:r w:rsidRPr="00CC5D71">
        <w:rPr>
          <w:position w:val="-10"/>
        </w:rPr>
        <w:object w:dxaOrig="1760" w:dyaOrig="360">
          <v:shape id="_x0000_i1034" type="#_x0000_t75" style="width:87.75pt;height:18pt" o:ole="">
            <v:imagedata r:id="rId23" o:title=""/>
          </v:shape>
          <o:OLEObject Type="Embed" ProgID="Equation.DSMT4" ShapeID="_x0000_i1034" DrawAspect="Content" ObjectID="_1544991938" r:id="rId24"/>
        </w:object>
      </w:r>
      <w:r>
        <w:t xml:space="preserve">. Для них в </w:t>
      </w:r>
      <w:r w:rsidRPr="00D24646">
        <w:t xml:space="preserve">[1] </w:t>
      </w:r>
      <w:r>
        <w:t xml:space="preserve">приведено </w:t>
      </w:r>
      <w:r w:rsidRPr="00D24646">
        <w:t xml:space="preserve">~2000 </w:t>
      </w:r>
      <w:r>
        <w:t xml:space="preserve">экспериментальных точек из </w:t>
      </w:r>
      <w:r w:rsidRPr="00D24646">
        <w:t xml:space="preserve">~90 </w:t>
      </w:r>
      <w:r>
        <w:t xml:space="preserve">работ. Данные разных авторов расходятся до 6 раз! Поэтому был проведен тщательный анализ этих работ, и каждой экспериментальной точке была приписана определенная точность. Для лучших работ точность доходила до 1%, а для худших составляла сотни процентов. Для удобства обработки все сечения были поделены на множитель Гамова, учитывающий проницаемость кулоновского барьера. Полученное отношение называют </w:t>
      </w:r>
      <w:r>
        <w:rPr>
          <w:lang w:val="en-US"/>
        </w:rPr>
        <w:t>S</w:t>
      </w:r>
      <w:r w:rsidRPr="00985732">
        <w:t>-</w:t>
      </w:r>
      <w:r>
        <w:t>фактором</w:t>
      </w:r>
      <w:r w:rsidRPr="00B977EB">
        <w:t>.</w:t>
      </w:r>
    </w:p>
    <w:p w:rsidR="006E7073" w:rsidRPr="00D22AF4" w:rsidRDefault="006E7073" w:rsidP="006E7073">
      <w:pPr>
        <w:pStyle w:val="Zv-bodyreport"/>
      </w:pPr>
      <w:r>
        <w:rPr>
          <w:b/>
          <w:i/>
        </w:rPr>
        <w:t>Регуляризованный двойной период.</w:t>
      </w:r>
      <w:r>
        <w:t xml:space="preserve"> Метод двойного периода </w:t>
      </w:r>
      <w:r w:rsidRPr="00D10BAF">
        <w:t xml:space="preserve">[3] </w:t>
      </w:r>
      <w:r>
        <w:t xml:space="preserve">позволяет аппроксимировать непериодическую функцию </w:t>
      </w:r>
      <w:r w:rsidRPr="00D20248">
        <w:rPr>
          <w:position w:val="-10"/>
        </w:rPr>
        <w:object w:dxaOrig="560" w:dyaOrig="320">
          <v:shape id="_x0000_i1035" type="#_x0000_t75" style="width:27.75pt;height:15.75pt" o:ole="">
            <v:imagedata r:id="rId25" o:title=""/>
          </v:shape>
          <o:OLEObject Type="Embed" ProgID="Equation.DSMT4" ShapeID="_x0000_i1035" DrawAspect="Content" ObjectID="_1544991939" r:id="rId26"/>
        </w:object>
      </w:r>
      <w:r w:rsidRPr="009160EE">
        <w:t xml:space="preserve"> </w:t>
      </w:r>
      <w:r>
        <w:t>рядом</w:t>
      </w:r>
      <w:r w:rsidRPr="001B123A">
        <w:t xml:space="preserve"> </w:t>
      </w:r>
      <w:r>
        <w:t xml:space="preserve">Фурье, обеспечивая хорошую точность на всем отрезке аппроксимации. Этот метод не использует априорной формулы </w:t>
      </w:r>
      <w:r w:rsidRPr="00D20248">
        <w:rPr>
          <w:position w:val="-10"/>
        </w:rPr>
        <w:object w:dxaOrig="560" w:dyaOrig="320">
          <v:shape id="_x0000_i1036" type="#_x0000_t75" style="width:27.75pt;height:15.75pt" o:ole="">
            <v:imagedata r:id="rId25" o:title=""/>
          </v:shape>
          <o:OLEObject Type="Embed" ProgID="Equation.DSMT4" ShapeID="_x0000_i1036" DrawAspect="Content" ObjectID="_1544991940" r:id="rId27"/>
        </w:object>
      </w:r>
      <w:r w:rsidRPr="004429FB">
        <w:t xml:space="preserve">. </w:t>
      </w:r>
      <w:r>
        <w:t>Он позволяет не только передать функцию в пределах экспериментального отрезка, но даже несколько экстраполировать за его пределы. Добавление к этому методу регуляризации по А.Н. Тихонову</w:t>
      </w:r>
      <w:r w:rsidRPr="00D22AF4">
        <w:t xml:space="preserve"> </w:t>
      </w:r>
      <w:r>
        <w:t>позволяет обрабатывать кривые с большими погрешностями. При этом отсутствуют нефизичные осцилляции расчетной кривой.</w:t>
      </w:r>
    </w:p>
    <w:p w:rsidR="006E7073" w:rsidRDefault="006E7073" w:rsidP="006E7073">
      <w:pPr>
        <w:pStyle w:val="Zv-bodyreport"/>
      </w:pPr>
      <w:r>
        <w:rPr>
          <w:b/>
          <w:i/>
        </w:rPr>
        <w:t>Обработка сечений реакций.</w:t>
      </w:r>
      <w:r>
        <w:t xml:space="preserve"> Описанным способом были построены сечения указанных выше реакций. Они имеют точность </w:t>
      </w:r>
      <w:r w:rsidRPr="00074FE7">
        <w:t xml:space="preserve">~2% </w:t>
      </w:r>
      <w:r>
        <w:t xml:space="preserve">в экспериментальном диапазоне энергий 2 кэВ – 14 МэВ. Благодаря свойству </w:t>
      </w:r>
      <w:r>
        <w:rPr>
          <w:lang w:val="en-US"/>
        </w:rPr>
        <w:t>S</w:t>
      </w:r>
      <w:r w:rsidRPr="00074FE7">
        <w:t>-</w:t>
      </w:r>
      <w:r>
        <w:t xml:space="preserve">фактора они экстраполируются как константы вплоть до </w:t>
      </w:r>
      <w:r w:rsidRPr="00D22351">
        <w:rPr>
          <w:position w:val="-6"/>
        </w:rPr>
        <w:object w:dxaOrig="600" w:dyaOrig="279">
          <v:shape id="_x0000_i1037" type="#_x0000_t75" style="width:30pt;height:14.25pt" o:ole="">
            <v:imagedata r:id="rId28" o:title=""/>
          </v:shape>
          <o:OLEObject Type="Embed" ProgID="Equation.DSMT4" ShapeID="_x0000_i1037" DrawAspect="Content" ObjectID="_1544991941" r:id="rId29"/>
        </w:object>
      </w:r>
      <w:r w:rsidRPr="00C364B5">
        <w:t>.</w:t>
      </w:r>
    </w:p>
    <w:p w:rsidR="006E7073" w:rsidRPr="00177B08" w:rsidRDefault="006E7073" w:rsidP="006E7073">
      <w:pPr>
        <w:pStyle w:val="Zv-bodyreport"/>
      </w:pPr>
      <w:r>
        <w:rPr>
          <w:b/>
          <w:i/>
        </w:rPr>
        <w:t>Скорости реакций.</w:t>
      </w:r>
      <w:r>
        <w:t xml:space="preserve"> Домножая найденный </w:t>
      </w:r>
      <w:r>
        <w:rPr>
          <w:lang w:val="en-US"/>
        </w:rPr>
        <w:t>S</w:t>
      </w:r>
      <w:r w:rsidRPr="00D77BE2">
        <w:t>-</w:t>
      </w:r>
      <w:r>
        <w:t xml:space="preserve">фактор на множитель Гамова и свертывая его с максвелловским распределением скоростей, найдем скорости реакций </w:t>
      </w:r>
      <w:r w:rsidRPr="00D20248">
        <w:rPr>
          <w:position w:val="-10"/>
        </w:rPr>
        <w:object w:dxaOrig="580" w:dyaOrig="320">
          <v:shape id="_x0000_i1038" type="#_x0000_t75" style="width:29.25pt;height:15.75pt" o:ole="">
            <v:imagedata r:id="rId7" o:title=""/>
          </v:shape>
          <o:OLEObject Type="Embed" ProgID="Equation.DSMT4" ShapeID="_x0000_i1038" DrawAspect="Content" ObjectID="_1544991942" r:id="rId30"/>
        </w:object>
      </w:r>
      <w:r>
        <w:t xml:space="preserve"> численным интегрированием. Они непосредственно получаются в таблиц чисел. Для удобства использования в прикладных расчетах эти таблицы были аппроксимированы методом двойного периода с 12 коэффициентами Фурье. Это обеспечивает точность</w:t>
      </w:r>
      <w:r w:rsidRPr="00B21531">
        <w:t xml:space="preserve"> </w:t>
      </w:r>
      <w:r>
        <w:t xml:space="preserve">порядка </w:t>
      </w:r>
      <w:r w:rsidRPr="00B21531">
        <w:t>3%</w:t>
      </w:r>
      <w:r>
        <w:t xml:space="preserve"> в диапазоне </w:t>
      </w:r>
      <w:r w:rsidRPr="002E51CF">
        <w:rPr>
          <w:position w:val="-4"/>
        </w:rPr>
        <w:object w:dxaOrig="420" w:dyaOrig="260">
          <v:shape id="_x0000_i1039" type="#_x0000_t75" style="width:21pt;height:12.75pt" o:ole="">
            <v:imagedata r:id="rId31" o:title=""/>
          </v:shape>
          <o:OLEObject Type="Embed" ProgID="Equation.DSMT4" ShapeID="_x0000_i1039" DrawAspect="Content" ObjectID="_1544991943" r:id="rId32"/>
        </w:object>
      </w:r>
      <w:r w:rsidRPr="00B21531">
        <w:t xml:space="preserve">10 </w:t>
      </w:r>
      <w:r>
        <w:t xml:space="preserve">эВ – 2 МэВ. Полученные формулы уточняют старые данные </w:t>
      </w:r>
      <w:r w:rsidRPr="00D47387">
        <w:t xml:space="preserve">[2] </w:t>
      </w:r>
      <w:r>
        <w:t>на 10 – 20% при низких температурах и кардинально улучшают их при высоких температурах.</w:t>
      </w:r>
    </w:p>
    <w:p w:rsidR="006E7073" w:rsidRDefault="006E7073" w:rsidP="006E7073">
      <w:pPr>
        <w:pStyle w:val="Zv-TitleReferences-ru"/>
        <w:spacing w:line="216" w:lineRule="auto"/>
      </w:pPr>
      <w:r>
        <w:t>Литература</w:t>
      </w:r>
    </w:p>
    <w:p w:rsidR="006E7073" w:rsidRPr="002E51CF" w:rsidRDefault="006E7073" w:rsidP="006E7073">
      <w:pPr>
        <w:pStyle w:val="Zv-References-ru"/>
        <w:numPr>
          <w:ilvl w:val="0"/>
          <w:numId w:val="1"/>
        </w:numPr>
        <w:spacing w:line="216" w:lineRule="auto"/>
        <w:rPr>
          <w:lang w:val="en-US"/>
        </w:rPr>
      </w:pPr>
      <w:r>
        <w:rPr>
          <w:lang w:val="en-US"/>
        </w:rPr>
        <w:t xml:space="preserve">NEA Data Bank </w:t>
      </w:r>
      <w:r w:rsidRPr="002E51CF">
        <w:rPr>
          <w:lang w:val="en-US"/>
        </w:rPr>
        <w:t>– Nuclear Data Services. http://ww</w:t>
      </w:r>
      <w:r>
        <w:rPr>
          <w:lang w:val="en-US"/>
        </w:rPr>
        <w:t>w.oecd-nea.org/janisweb/search/</w:t>
      </w:r>
      <w:r w:rsidRPr="002E51CF">
        <w:rPr>
          <w:lang w:val="en-US"/>
        </w:rPr>
        <w:t>exfor</w:t>
      </w:r>
    </w:p>
    <w:p w:rsidR="006E7073" w:rsidRDefault="006E7073" w:rsidP="006E7073">
      <w:pPr>
        <w:pStyle w:val="Zv-References-ru"/>
        <w:numPr>
          <w:ilvl w:val="0"/>
          <w:numId w:val="1"/>
        </w:numPr>
        <w:spacing w:line="216" w:lineRule="auto"/>
      </w:pPr>
      <w:r>
        <w:t>Козлов Б.</w:t>
      </w:r>
      <w:r w:rsidRPr="002E51CF">
        <w:rPr>
          <w:lang w:val="en-US"/>
        </w:rPr>
        <w:t>H</w:t>
      </w:r>
      <w:r w:rsidRPr="002E51CF">
        <w:t>. // Атомная энергия.</w:t>
      </w:r>
      <w:r>
        <w:t xml:space="preserve"> </w:t>
      </w:r>
      <w:r w:rsidRPr="00CF3CC9">
        <w:rPr>
          <w:b/>
        </w:rPr>
        <w:t>12</w:t>
      </w:r>
      <w:r>
        <w:t>:3</w:t>
      </w:r>
      <w:r w:rsidRPr="002E51CF">
        <w:t xml:space="preserve"> </w:t>
      </w:r>
      <w:r>
        <w:t xml:space="preserve">(1962). </w:t>
      </w:r>
      <w:r w:rsidRPr="002E51CF">
        <w:t>238-240.</w:t>
      </w:r>
    </w:p>
    <w:p w:rsidR="006E7073" w:rsidRDefault="006E7073" w:rsidP="006E7073">
      <w:pPr>
        <w:pStyle w:val="Zv-References-ru"/>
        <w:numPr>
          <w:ilvl w:val="0"/>
          <w:numId w:val="1"/>
        </w:numPr>
        <w:spacing w:line="216" w:lineRule="auto"/>
      </w:pPr>
      <w:r>
        <w:t>Калиткин Н.Н., Кузьмина Л.</w:t>
      </w:r>
      <w:r w:rsidRPr="00C57AE3">
        <w:t xml:space="preserve">В. </w:t>
      </w:r>
      <w:r>
        <w:t>// ДАН</w:t>
      </w:r>
      <w:r w:rsidRPr="00C57AE3">
        <w:t>.</w:t>
      </w:r>
      <w:r>
        <w:t xml:space="preserve"> </w:t>
      </w:r>
      <w:r w:rsidRPr="00CF3CC9">
        <w:rPr>
          <w:b/>
        </w:rPr>
        <w:t>374</w:t>
      </w:r>
      <w:r>
        <w:t>:4</w:t>
      </w:r>
      <w:r w:rsidRPr="00C57AE3">
        <w:t xml:space="preserve"> </w:t>
      </w:r>
      <w:r>
        <w:t>(</w:t>
      </w:r>
      <w:r w:rsidRPr="00C57AE3">
        <w:t>2000</w:t>
      </w:r>
      <w:r>
        <w:t>).</w:t>
      </w:r>
      <w:r w:rsidRPr="00C57AE3">
        <w:t xml:space="preserve"> 464-468.</w:t>
      </w:r>
    </w:p>
    <w:p w:rsidR="006E7073" w:rsidRPr="002E51CF" w:rsidRDefault="006E7073" w:rsidP="006E7073">
      <w:pPr>
        <w:pStyle w:val="Zv-References-ru"/>
        <w:numPr>
          <w:ilvl w:val="0"/>
          <w:numId w:val="1"/>
        </w:numPr>
        <w:spacing w:line="216" w:lineRule="auto"/>
      </w:pPr>
      <w:r>
        <w:t xml:space="preserve">Белов А.А., Калиткин Н.Н. </w:t>
      </w:r>
      <w:r w:rsidRPr="001E71A3">
        <w:t xml:space="preserve">// </w:t>
      </w:r>
      <w:r>
        <w:t xml:space="preserve">ДАН. </w:t>
      </w:r>
      <w:r w:rsidRPr="001E71A3">
        <w:rPr>
          <w:b/>
        </w:rPr>
        <w:t>470</w:t>
      </w:r>
      <w:r>
        <w:t>:3 (2016), 266-270.</w:t>
      </w:r>
    </w:p>
    <w:sectPr w:rsidR="006E7073" w:rsidRPr="002E51CF" w:rsidSect="00F95123">
      <w:headerReference w:type="default" r:id="rId33"/>
      <w:footerReference w:type="even" r:id="rId34"/>
      <w:footerReference w:type="default" r:id="rId3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66" w:rsidRDefault="00153566">
      <w:r>
        <w:separator/>
      </w:r>
    </w:p>
  </w:endnote>
  <w:endnote w:type="continuationSeparator" w:id="0">
    <w:p w:rsidR="00153566" w:rsidRDefault="00153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7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67B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707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66" w:rsidRDefault="00153566">
      <w:r>
        <w:separator/>
      </w:r>
    </w:p>
  </w:footnote>
  <w:footnote w:type="continuationSeparator" w:id="0">
    <w:p w:rsidR="00153566" w:rsidRDefault="001535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767B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566"/>
    <w:rsid w:val="0002206C"/>
    <w:rsid w:val="00043701"/>
    <w:rsid w:val="000C657D"/>
    <w:rsid w:val="000C7078"/>
    <w:rsid w:val="000D76E9"/>
    <w:rsid w:val="000E495B"/>
    <w:rsid w:val="00153566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E7073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767BB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Уточнение скоростей термоядерных реакций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2017-01-03T20:35:00Z</dcterms:created>
  <dcterms:modified xsi:type="dcterms:W3CDTF">2017-01-03T20:39:00Z</dcterms:modified>
</cp:coreProperties>
</file>