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D6" w:rsidRPr="00862143" w:rsidRDefault="00B34FD6" w:rsidP="00B34FD6">
      <w:pPr>
        <w:pStyle w:val="Zv-Titlereport"/>
        <w:rPr>
          <w:szCs w:val="22"/>
          <w:shd w:val="clear" w:color="auto" w:fill="FFFFFF"/>
        </w:rPr>
      </w:pPr>
      <w:bookmarkStart w:id="0" w:name="_Hlk468705917"/>
      <w:bookmarkStart w:id="1" w:name="OLE_LINK51"/>
      <w:bookmarkStart w:id="2" w:name="OLE_LINK52"/>
      <w:r>
        <w:rPr>
          <w:szCs w:val="22"/>
          <w:shd w:val="clear" w:color="auto" w:fill="FFFFFF"/>
        </w:rPr>
        <w:t>Текущее состояние интеграционных работ по ВП№02 и ВП№08</w:t>
      </w:r>
      <w:bookmarkEnd w:id="1"/>
      <w:bookmarkEnd w:id="2"/>
    </w:p>
    <w:p w:rsidR="00B34FD6" w:rsidRPr="00862143" w:rsidRDefault="00B34FD6" w:rsidP="00B34FD6">
      <w:pPr>
        <w:pStyle w:val="Zv-Author"/>
      </w:pPr>
      <w:r w:rsidRPr="00CE12B7">
        <w:rPr>
          <w:u w:val="single"/>
        </w:rPr>
        <w:t>Листопад</w:t>
      </w:r>
      <w:r>
        <w:rPr>
          <w:u w:val="single"/>
        </w:rPr>
        <w:t xml:space="preserve"> А.А.</w:t>
      </w:r>
      <w:r>
        <w:t>,</w:t>
      </w:r>
      <w:r w:rsidRPr="00CE12B7">
        <w:t xml:space="preserve"> </w:t>
      </w:r>
      <w:r w:rsidRPr="009E669A">
        <w:rPr>
          <w:vertAlign w:val="superscript"/>
        </w:rPr>
        <w:t>1</w:t>
      </w:r>
      <w:r w:rsidRPr="00CE12B7">
        <w:t>Александров</w:t>
      </w:r>
      <w:r>
        <w:t xml:space="preserve"> Е.В.</w:t>
      </w:r>
      <w:r w:rsidRPr="00CE12B7">
        <w:t>, Бурдаков</w:t>
      </w:r>
      <w:r>
        <w:t xml:space="preserve"> А.В.</w:t>
      </w:r>
      <w:r w:rsidRPr="00CE12B7">
        <w:t>,</w:t>
      </w:r>
      <w:r w:rsidRPr="005E35A5">
        <w:t xml:space="preserve"> </w:t>
      </w:r>
      <w:r w:rsidRPr="009E669A">
        <w:rPr>
          <w:vertAlign w:val="superscript"/>
        </w:rPr>
        <w:t>2</w:t>
      </w:r>
      <w:r>
        <w:t>Буслаков И.В.,</w:t>
      </w:r>
      <w:r w:rsidRPr="00CE12B7">
        <w:t xml:space="preserve"> </w:t>
      </w:r>
      <w:r>
        <w:t xml:space="preserve">Горбовский А.И., Зайцев Е.К., </w:t>
      </w:r>
      <w:r w:rsidRPr="00CE12B7">
        <w:t>Иванцивский</w:t>
      </w:r>
      <w:r>
        <w:t xml:space="preserve"> М.В.</w:t>
      </w:r>
      <w:r w:rsidRPr="009710C2">
        <w:t xml:space="preserve">, </w:t>
      </w:r>
      <w:r>
        <w:t>Манаенкова Ю.А.</w:t>
      </w:r>
      <w:r w:rsidRPr="00CE12B7">
        <w:t xml:space="preserve">, </w:t>
      </w:r>
      <w:r w:rsidRPr="009E669A">
        <w:rPr>
          <w:vertAlign w:val="superscript"/>
        </w:rPr>
        <w:t>2</w:t>
      </w:r>
      <w:r w:rsidRPr="00CE12B7">
        <w:t>Модестов</w:t>
      </w:r>
      <w:r>
        <w:t xml:space="preserve"> В.С., Селезнев П.А., </w:t>
      </w:r>
      <w:r w:rsidRPr="009E669A">
        <w:rPr>
          <w:vertAlign w:val="superscript"/>
        </w:rPr>
        <w:t>2</w:t>
      </w:r>
      <w:r>
        <w:t>Шагниев О.Б., Шиянков С.В., Шошин</w:t>
      </w:r>
      <w:r w:rsidRPr="00862143">
        <w:t xml:space="preserve"> </w:t>
      </w:r>
      <w:r>
        <w:t>А.А.</w:t>
      </w:r>
    </w:p>
    <w:p w:rsidR="00B34FD6" w:rsidRDefault="00B34FD6" w:rsidP="00B34FD6">
      <w:pPr>
        <w:pStyle w:val="Zv-Organization"/>
      </w:pPr>
      <w:r w:rsidRPr="00862143">
        <w:t xml:space="preserve">Институт </w:t>
      </w:r>
      <w:r>
        <w:t>я</w:t>
      </w:r>
      <w:r w:rsidRPr="00862143">
        <w:t xml:space="preserve">дерной физики им. Г.И. Будкера СО РАН, </w:t>
      </w:r>
      <w:r>
        <w:t xml:space="preserve">г. </w:t>
      </w:r>
      <w:r w:rsidRPr="00862143">
        <w:t xml:space="preserve">Новосибирск, Россия, </w:t>
      </w:r>
      <w:r>
        <w:br/>
      </w:r>
      <w:r w:rsidRPr="00B34FD6">
        <w:t xml:space="preserve">    </w:t>
      </w:r>
      <w:r w:rsidRPr="00862143">
        <w:t xml:space="preserve"> </w:t>
      </w:r>
      <w:hyperlink r:id="rId7" w:history="1">
        <w:r w:rsidRPr="00862143">
          <w:rPr>
            <w:rStyle w:val="a8"/>
          </w:rPr>
          <w:t>a.a.listopad@inp.nsk.su</w:t>
        </w:r>
      </w:hyperlink>
      <w:r>
        <w:rPr>
          <w:rStyle w:val="a8"/>
        </w:rPr>
        <w:br/>
      </w:r>
      <w:r>
        <w:rPr>
          <w:vertAlign w:val="superscript"/>
        </w:rPr>
        <w:t>1</w:t>
      </w:r>
      <w:r w:rsidRPr="002F20E6">
        <w:rPr>
          <w:szCs w:val="24"/>
        </w:rPr>
        <w:t>Проектный</w:t>
      </w:r>
      <w:r w:rsidRPr="009E669A">
        <w:rPr>
          <w:szCs w:val="24"/>
        </w:rPr>
        <w:t xml:space="preserve"> </w:t>
      </w:r>
      <w:r w:rsidRPr="002F20E6">
        <w:rPr>
          <w:szCs w:val="24"/>
        </w:rPr>
        <w:t>центр</w:t>
      </w:r>
      <w:r w:rsidRPr="009E669A">
        <w:rPr>
          <w:szCs w:val="24"/>
        </w:rPr>
        <w:t xml:space="preserve"> </w:t>
      </w:r>
      <w:r w:rsidRPr="002F20E6">
        <w:rPr>
          <w:szCs w:val="24"/>
        </w:rPr>
        <w:t>ИТЭР</w:t>
      </w:r>
      <w:r w:rsidRPr="009E669A">
        <w:rPr>
          <w:szCs w:val="24"/>
        </w:rPr>
        <w:t xml:space="preserve">, </w:t>
      </w:r>
      <w:r w:rsidRPr="002F20E6">
        <w:rPr>
          <w:szCs w:val="24"/>
        </w:rPr>
        <w:t>г</w:t>
      </w:r>
      <w:r w:rsidRPr="009E669A">
        <w:rPr>
          <w:szCs w:val="24"/>
        </w:rPr>
        <w:t xml:space="preserve">. </w:t>
      </w:r>
      <w:r w:rsidRPr="002F20E6">
        <w:rPr>
          <w:szCs w:val="24"/>
        </w:rPr>
        <w:t>Москва</w:t>
      </w:r>
      <w:r w:rsidRPr="009E669A">
        <w:rPr>
          <w:szCs w:val="24"/>
        </w:rPr>
        <w:t xml:space="preserve">, </w:t>
      </w:r>
      <w:r w:rsidRPr="002F20E6">
        <w:rPr>
          <w:szCs w:val="24"/>
        </w:rPr>
        <w:t>Россия</w:t>
      </w:r>
      <w:r w:rsidRPr="00862143">
        <w:t xml:space="preserve">, </w:t>
      </w:r>
      <w:hyperlink r:id="rId8" w:history="1">
        <w:r w:rsidRPr="00862143">
          <w:rPr>
            <w:rStyle w:val="a8"/>
          </w:rPr>
          <w:t>e.alexandrov@iterrf.ru</w:t>
        </w:r>
      </w:hyperlink>
      <w:r>
        <w:rPr>
          <w:rStyle w:val="a8"/>
        </w:rPr>
        <w:br/>
      </w:r>
      <w:bookmarkStart w:id="3" w:name="_Hlk466995087"/>
      <w:r>
        <w:rPr>
          <w:szCs w:val="24"/>
          <w:vertAlign w:val="superscript"/>
        </w:rPr>
        <w:t>2</w:t>
      </w:r>
      <w:r w:rsidRPr="002F20E6">
        <w:rPr>
          <w:szCs w:val="24"/>
        </w:rPr>
        <w:t>Санкт-Петербургский политехнический университет им. Петра</w:t>
      </w:r>
      <w:r w:rsidRPr="009E669A">
        <w:rPr>
          <w:szCs w:val="24"/>
        </w:rPr>
        <w:t xml:space="preserve"> </w:t>
      </w:r>
      <w:r w:rsidRPr="002F20E6">
        <w:rPr>
          <w:szCs w:val="24"/>
        </w:rPr>
        <w:t>Великого</w:t>
      </w:r>
      <w:r w:rsidRPr="009E669A">
        <w:rPr>
          <w:szCs w:val="24"/>
        </w:rPr>
        <w:t>,</w:t>
      </w:r>
      <w:r>
        <w:rPr>
          <w:szCs w:val="24"/>
          <w:lang w:val="en-US"/>
        </w:rPr>
        <w:br/>
        <w:t xml:space="preserve">    </w:t>
      </w:r>
      <w:r w:rsidRPr="009E669A">
        <w:rPr>
          <w:szCs w:val="24"/>
        </w:rPr>
        <w:t xml:space="preserve"> </w:t>
      </w:r>
      <w:r w:rsidRPr="002F20E6">
        <w:rPr>
          <w:szCs w:val="24"/>
        </w:rPr>
        <w:t>г</w:t>
      </w:r>
      <w:r w:rsidRPr="009E669A">
        <w:rPr>
          <w:szCs w:val="24"/>
        </w:rPr>
        <w:t xml:space="preserve">. </w:t>
      </w:r>
      <w:r w:rsidRPr="002F20E6">
        <w:rPr>
          <w:szCs w:val="24"/>
        </w:rPr>
        <w:t>Санкт</w:t>
      </w:r>
      <w:r w:rsidRPr="009E669A">
        <w:rPr>
          <w:szCs w:val="24"/>
        </w:rPr>
        <w:t>-</w:t>
      </w:r>
      <w:r w:rsidRPr="002F20E6">
        <w:rPr>
          <w:szCs w:val="24"/>
        </w:rPr>
        <w:t>Петербург</w:t>
      </w:r>
      <w:r w:rsidRPr="009E669A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3"/>
      <w:r w:rsidRPr="00862143">
        <w:t xml:space="preserve">, </w:t>
      </w:r>
      <w:hyperlink r:id="rId9" w:history="1">
        <w:r w:rsidRPr="00862143">
          <w:rPr>
            <w:rStyle w:val="a8"/>
          </w:rPr>
          <w:t>vmodestov@spbstu.ru</w:t>
        </w:r>
      </w:hyperlink>
    </w:p>
    <w:bookmarkEnd w:id="0"/>
    <w:p w:rsidR="00B34FD6" w:rsidRDefault="00B34FD6" w:rsidP="00B34FD6">
      <w:pPr>
        <w:pStyle w:val="Zv-bodyreport"/>
      </w:pPr>
      <w:r>
        <w:t>На прошедшем этапе выполнен эскизный дизайн устройств для размещения оборудования в верхних портах №02 и №08 установки ИТЭР.</w:t>
      </w:r>
      <w:r w:rsidRPr="0052613F">
        <w:t xml:space="preserve"> </w:t>
      </w:r>
      <w:r>
        <w:t xml:space="preserve">Были доработаны детальные модели диагностических защитных модулей (ДЗМ) в соответствии с текущими версиями моделей размещаемого оборудования, проработан дизайн каналов водяного охлаждения. Внутри порт-плага между ДЗМ и вакуумным фланцем проработано размещение водяных труб и электрических кабелей, разработаны консоли для поддержки и фиксации диагностических устройств. </w:t>
      </w:r>
    </w:p>
    <w:p w:rsidR="00B34FD6" w:rsidRDefault="00B34FD6" w:rsidP="00B34FD6">
      <w:pPr>
        <w:pStyle w:val="Zv-bodyreport"/>
      </w:pPr>
      <w:r>
        <w:t xml:space="preserve">Доработка опорных конструкций для размещения оборудования в околопортовом пространстве и порт-камере выполнена также учитывая его актуальный дизайн. В соответствии с предложенной концепцией ОИ блок биозащиты был перенесен из порт-камеры в околопортовое пространство. </w:t>
      </w:r>
    </w:p>
    <w:p w:rsidR="00B34FD6" w:rsidRDefault="00B34FD6" w:rsidP="00B34FD6">
      <w:pPr>
        <w:pStyle w:val="Zv-bodyreport"/>
        <w:rPr>
          <w:szCs w:val="26"/>
        </w:rPr>
      </w:pPr>
      <w:r>
        <w:t>При доработке моделей портов учитывались результаты</w:t>
      </w:r>
      <w:r w:rsidRPr="00B804C0">
        <w:t xml:space="preserve"> расчет</w:t>
      </w:r>
      <w:r>
        <w:t xml:space="preserve">ов </w:t>
      </w:r>
      <w:bookmarkStart w:id="4" w:name="_GoBack"/>
      <w:bookmarkEnd w:id="4"/>
      <w:r>
        <w:t xml:space="preserve">тепловых, </w:t>
      </w:r>
      <w:r w:rsidRPr="00B804C0">
        <w:t xml:space="preserve">термогидравлических, </w:t>
      </w:r>
      <w:r>
        <w:rPr>
          <w:szCs w:val="26"/>
        </w:rPr>
        <w:t>электромагнитных и</w:t>
      </w:r>
      <w:r w:rsidRPr="00B804C0">
        <w:rPr>
          <w:szCs w:val="26"/>
        </w:rPr>
        <w:t xml:space="preserve"> </w:t>
      </w:r>
      <w:r>
        <w:rPr>
          <w:szCs w:val="26"/>
        </w:rPr>
        <w:t>сейсм</w:t>
      </w:r>
      <w:r w:rsidRPr="00B804C0">
        <w:rPr>
          <w:szCs w:val="26"/>
        </w:rPr>
        <w:t xml:space="preserve">ических нагрузок на элементы </w:t>
      </w:r>
      <w:r>
        <w:rPr>
          <w:szCs w:val="26"/>
        </w:rPr>
        <w:t xml:space="preserve">их конструкций. </w:t>
      </w:r>
      <w:r w:rsidRPr="00B804C0">
        <w:rPr>
          <w:szCs w:val="26"/>
        </w:rPr>
        <w:t xml:space="preserve">В процессе проектирования был продуман порядок сборки порт-плага с размещенными в нем элементами </w:t>
      </w:r>
      <w:r>
        <w:rPr>
          <w:szCs w:val="26"/>
        </w:rPr>
        <w:t>устройств с учетом подвода/</w:t>
      </w:r>
      <w:r w:rsidRPr="00B804C0">
        <w:rPr>
          <w:szCs w:val="26"/>
        </w:rPr>
        <w:t>отвода охлаждающей жидкости и возможности присоединения данных модулей с другими узлами установки</w:t>
      </w:r>
      <w:r>
        <w:rPr>
          <w:szCs w:val="26"/>
        </w:rPr>
        <w:t>. Проработана первая версия плана технического обслуживания порта в зонах вакуумного фланца, околопортовом пространстве и порт-камере.</w:t>
      </w:r>
    </w:p>
    <w:p w:rsidR="00B34FD6" w:rsidRPr="00862143" w:rsidRDefault="00B34FD6" w:rsidP="00B34FD6">
      <w:pPr>
        <w:pStyle w:val="Zv-bodyreport"/>
        <w:rPr>
          <w:szCs w:val="26"/>
        </w:rPr>
      </w:pPr>
      <w:r w:rsidRPr="007F258A">
        <w:rPr>
          <w:szCs w:val="26"/>
        </w:rPr>
        <w:t xml:space="preserve">Полученные в ходе выполнения </w:t>
      </w:r>
      <w:r>
        <w:rPr>
          <w:szCs w:val="26"/>
        </w:rPr>
        <w:t>работы</w:t>
      </w:r>
      <w:r w:rsidRPr="007F258A">
        <w:rPr>
          <w:szCs w:val="26"/>
        </w:rPr>
        <w:t xml:space="preserve"> результаты могут быть использованы при конструировании других верхних порт-плагов ИТЭР. Принципиальные конструктивные решения могут быть использованы для проектирования аналогичных систем в</w:t>
      </w:r>
      <w:r>
        <w:rPr>
          <w:szCs w:val="26"/>
        </w:rPr>
        <w:t xml:space="preserve"> установках с подобными режимами работы.</w:t>
      </w:r>
    </w:p>
    <w:p w:rsidR="004B72AA" w:rsidRPr="00B34FD6" w:rsidRDefault="004B72AA" w:rsidP="000D76E9"/>
    <w:sectPr w:rsidR="004B72AA" w:rsidRPr="00B34FD6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4F3" w:rsidRDefault="002D34F3">
      <w:r>
        <w:separator/>
      </w:r>
    </w:p>
  </w:endnote>
  <w:endnote w:type="continuationSeparator" w:id="0">
    <w:p w:rsidR="002D34F3" w:rsidRDefault="002D3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263E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263E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34FD6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4F3" w:rsidRDefault="002D34F3">
      <w:r>
        <w:separator/>
      </w:r>
    </w:p>
  </w:footnote>
  <w:footnote w:type="continuationSeparator" w:id="0">
    <w:p w:rsidR="002D34F3" w:rsidRDefault="002D34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B34FD6" w:rsidRDefault="005263E9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D34F3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2D34F3"/>
    <w:rsid w:val="003800F3"/>
    <w:rsid w:val="003B5B93"/>
    <w:rsid w:val="00401388"/>
    <w:rsid w:val="00446025"/>
    <w:rsid w:val="004A374B"/>
    <w:rsid w:val="004A77D1"/>
    <w:rsid w:val="004B72AA"/>
    <w:rsid w:val="004F4E29"/>
    <w:rsid w:val="005263E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34FD6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B34F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alexandrov@iterrf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a.listopad@inp.nsk.s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modestov@spbstu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Текущее состояние интеграционных работ по ВП№02 и ВП№08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2017-01-07T19:48:00Z</dcterms:created>
  <dcterms:modified xsi:type="dcterms:W3CDTF">2017-01-07T19:50:00Z</dcterms:modified>
</cp:coreProperties>
</file>