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9E" w:rsidRDefault="00C7429E" w:rsidP="00C7429E">
      <w:pPr>
        <w:pStyle w:val="Zv-Titlereport"/>
      </w:pPr>
      <w:bookmarkStart w:id="0" w:name="OLE_LINK5"/>
      <w:bookmarkStart w:id="1" w:name="OLE_LINK6"/>
      <w:r>
        <w:t>состояние Работ</w:t>
      </w:r>
      <w:r w:rsidRPr="00CE12B7">
        <w:t xml:space="preserve"> в ИЯФ СО </w:t>
      </w:r>
      <w:r w:rsidRPr="00E64BF3">
        <w:t>РАН</w:t>
      </w:r>
      <w:r w:rsidRPr="00CE12B7">
        <w:t xml:space="preserve"> по проекту ИТЭР</w:t>
      </w:r>
      <w:bookmarkEnd w:id="0"/>
      <w:bookmarkEnd w:id="1"/>
    </w:p>
    <w:p w:rsidR="00C7429E" w:rsidRPr="007446D0" w:rsidRDefault="00C7429E" w:rsidP="00C7429E">
      <w:pPr>
        <w:pStyle w:val="Zv-Author"/>
        <w:rPr>
          <w:vertAlign w:val="superscript"/>
        </w:rPr>
      </w:pPr>
      <w:r w:rsidRPr="006A4DD3">
        <w:rPr>
          <w:vertAlign w:val="superscript"/>
        </w:rPr>
        <w:t>1,3</w:t>
      </w:r>
      <w:r w:rsidRPr="00263563">
        <w:rPr>
          <w:u w:val="single"/>
        </w:rPr>
        <w:t>Иванцив</w:t>
      </w:r>
      <w:r w:rsidRPr="006A4DD3">
        <w:rPr>
          <w:u w:val="single"/>
        </w:rPr>
        <w:t>ский</w:t>
      </w:r>
      <w:r w:rsidRPr="00E64BF3">
        <w:rPr>
          <w:u w:val="single"/>
        </w:rPr>
        <w:t xml:space="preserve"> </w:t>
      </w:r>
      <w:r w:rsidRPr="00263563">
        <w:rPr>
          <w:u w:val="single"/>
        </w:rPr>
        <w:t>М.В.</w:t>
      </w:r>
      <w:r w:rsidRPr="006A4DD3">
        <w:t xml:space="preserve">, </w:t>
      </w:r>
      <w:r w:rsidRPr="006A4DD3">
        <w:rPr>
          <w:vertAlign w:val="superscript"/>
        </w:rPr>
        <w:t>2</w:t>
      </w:r>
      <w:r w:rsidRPr="006A4DD3">
        <w:t>Александров</w:t>
      </w:r>
      <w:r w:rsidRPr="00F363F6">
        <w:t xml:space="preserve"> </w:t>
      </w:r>
      <w:r w:rsidRPr="006A4DD3">
        <w:t xml:space="preserve">E.В., </w:t>
      </w:r>
      <w:r w:rsidRPr="006A4DD3">
        <w:rPr>
          <w:vertAlign w:val="superscript"/>
        </w:rPr>
        <w:t>1,3</w:t>
      </w:r>
      <w:r w:rsidRPr="006A4DD3">
        <w:t>Бурдаков</w:t>
      </w:r>
      <w:r w:rsidRPr="00F363F6">
        <w:t xml:space="preserve"> </w:t>
      </w:r>
      <w:r w:rsidRPr="006A4DD3">
        <w:t xml:space="preserve">А.В., </w:t>
      </w:r>
      <w:r w:rsidRPr="006A4DD3">
        <w:rPr>
          <w:vertAlign w:val="superscript"/>
        </w:rPr>
        <w:t>3</w:t>
      </w:r>
      <w:r w:rsidRPr="006A4DD3">
        <w:t>Воронковский</w:t>
      </w:r>
      <w:r w:rsidRPr="00F363F6">
        <w:t xml:space="preserve"> </w:t>
      </w:r>
      <w:r w:rsidRPr="006A4DD3">
        <w:t xml:space="preserve">В.А., </w:t>
      </w:r>
      <w:bookmarkStart w:id="2" w:name="_Hlk468708851"/>
      <w:r w:rsidRPr="00E64BF3">
        <w:rPr>
          <w:vertAlign w:val="superscript"/>
        </w:rPr>
        <w:t>1</w:t>
      </w:r>
      <w:bookmarkEnd w:id="2"/>
      <w:r w:rsidRPr="006A4DD3">
        <w:t>Гавриленко</w:t>
      </w:r>
      <w:r w:rsidRPr="00F363F6">
        <w:t xml:space="preserve"> </w:t>
      </w:r>
      <w:r>
        <w:t>Д.Е.</w:t>
      </w:r>
      <w:r w:rsidRPr="006A4DD3">
        <w:t xml:space="preserve">, </w:t>
      </w:r>
      <w:r w:rsidRPr="00E64BF3">
        <w:rPr>
          <w:vertAlign w:val="superscript"/>
        </w:rPr>
        <w:t>1</w:t>
      </w:r>
      <w:r w:rsidRPr="006A4DD3">
        <w:t>Горбовский</w:t>
      </w:r>
      <w:r w:rsidRPr="00F363F6">
        <w:t xml:space="preserve"> </w:t>
      </w:r>
      <w:r w:rsidRPr="006A4DD3">
        <w:t xml:space="preserve">А.И., </w:t>
      </w:r>
      <w:r w:rsidRPr="00E64BF3">
        <w:rPr>
          <w:vertAlign w:val="superscript"/>
        </w:rPr>
        <w:t>1</w:t>
      </w:r>
      <w:r w:rsidRPr="006A4DD3">
        <w:t>Егоров</w:t>
      </w:r>
      <w:r w:rsidRPr="00F363F6">
        <w:t xml:space="preserve"> </w:t>
      </w:r>
      <w:r>
        <w:t>В.Л.</w:t>
      </w:r>
      <w:r w:rsidRPr="006A4DD3">
        <w:t xml:space="preserve">, </w:t>
      </w:r>
      <w:r w:rsidR="0080517D" w:rsidRPr="00E64BF3">
        <w:rPr>
          <w:vertAlign w:val="superscript"/>
        </w:rPr>
        <w:t>1</w:t>
      </w:r>
      <w:r w:rsidRPr="006A4DD3">
        <w:t>Зайцев</w:t>
      </w:r>
      <w:r w:rsidRPr="00F363F6">
        <w:t xml:space="preserve"> </w:t>
      </w:r>
      <w:r w:rsidRPr="006A4DD3">
        <w:t xml:space="preserve">Е.К., </w:t>
      </w:r>
      <w:r w:rsidRPr="006A4DD3">
        <w:rPr>
          <w:vertAlign w:val="superscript"/>
        </w:rPr>
        <w:t>2</w:t>
      </w:r>
      <w:r w:rsidRPr="006A4DD3">
        <w:t>Звонков</w:t>
      </w:r>
      <w:r>
        <w:rPr>
          <w:lang w:val="en-US"/>
        </w:rPr>
        <w:t> </w:t>
      </w:r>
      <w:r w:rsidRPr="006A4DD3">
        <w:t>А.В.,</w:t>
      </w:r>
      <w:r w:rsidRPr="00F363F6">
        <w:t xml:space="preserve"> </w:t>
      </w:r>
      <w:r w:rsidRPr="00E64BF3">
        <w:rPr>
          <w:vertAlign w:val="superscript"/>
        </w:rPr>
        <w:t>1</w:t>
      </w:r>
      <w:r w:rsidRPr="006A4DD3">
        <w:t>Землянский</w:t>
      </w:r>
      <w:r w:rsidRPr="00F363F6">
        <w:t xml:space="preserve"> </w:t>
      </w:r>
      <w:r w:rsidRPr="006A4DD3">
        <w:t xml:space="preserve">Ю.Н., </w:t>
      </w:r>
      <w:r w:rsidRPr="006A4DD3">
        <w:rPr>
          <w:vertAlign w:val="superscript"/>
        </w:rPr>
        <w:t>3</w:t>
      </w:r>
      <w:r w:rsidRPr="006A4DD3">
        <w:t>Иванцивская</w:t>
      </w:r>
      <w:r w:rsidRPr="00F363F6">
        <w:t xml:space="preserve"> </w:t>
      </w:r>
      <w:r>
        <w:t>Н.Г.</w:t>
      </w:r>
      <w:r w:rsidRPr="006A4DD3">
        <w:t xml:space="preserve">, </w:t>
      </w:r>
      <w:r w:rsidRPr="006A4DD3">
        <w:rPr>
          <w:vertAlign w:val="superscript"/>
        </w:rPr>
        <w:t>1,3</w:t>
      </w:r>
      <w:r w:rsidRPr="006A4DD3">
        <w:t>Клименко</w:t>
      </w:r>
      <w:r w:rsidRPr="00F363F6">
        <w:t xml:space="preserve"> </w:t>
      </w:r>
      <w:r w:rsidRPr="006A4DD3">
        <w:t xml:space="preserve">М.В., </w:t>
      </w:r>
      <w:r w:rsidRPr="00E64BF3">
        <w:rPr>
          <w:vertAlign w:val="superscript"/>
        </w:rPr>
        <w:t>1</w:t>
      </w:r>
      <w:r w:rsidRPr="006A4DD3">
        <w:t>Листопад</w:t>
      </w:r>
      <w:r w:rsidRPr="00F363F6">
        <w:t xml:space="preserve"> </w:t>
      </w:r>
      <w:r w:rsidRPr="006A4DD3">
        <w:t xml:space="preserve">А.А., </w:t>
      </w:r>
      <w:r w:rsidRPr="006A4DD3">
        <w:rPr>
          <w:vertAlign w:val="superscript"/>
        </w:rPr>
        <w:t>6</w:t>
      </w:r>
      <w:r w:rsidRPr="006A4DD3">
        <w:t>Люблин</w:t>
      </w:r>
      <w:r>
        <w:rPr>
          <w:lang w:val="en-US"/>
        </w:rPr>
        <w:t> </w:t>
      </w:r>
      <w:r w:rsidRPr="006A4DD3">
        <w:t xml:space="preserve">Б.В., </w:t>
      </w:r>
      <w:r w:rsidRPr="00E64BF3">
        <w:rPr>
          <w:vertAlign w:val="superscript"/>
        </w:rPr>
        <w:t>1</w:t>
      </w:r>
      <w:r w:rsidRPr="006A4DD3">
        <w:t>Манаенкова</w:t>
      </w:r>
      <w:r w:rsidRPr="00F363F6">
        <w:t xml:space="preserve"> </w:t>
      </w:r>
      <w:r w:rsidRPr="006A4DD3">
        <w:t xml:space="preserve">Ю.А., </w:t>
      </w:r>
      <w:r w:rsidRPr="00E64BF3">
        <w:rPr>
          <w:vertAlign w:val="superscript"/>
        </w:rPr>
        <w:t>4</w:t>
      </w:r>
      <w:r w:rsidRPr="006A4DD3">
        <w:t>Модестов</w:t>
      </w:r>
      <w:r w:rsidRPr="00F363F6">
        <w:t xml:space="preserve"> </w:t>
      </w:r>
      <w:r w:rsidRPr="006A4DD3">
        <w:t xml:space="preserve">В.С., </w:t>
      </w:r>
      <w:r w:rsidRPr="00E64BF3">
        <w:rPr>
          <w:vertAlign w:val="superscript"/>
        </w:rPr>
        <w:t>1</w:t>
      </w:r>
      <w:r w:rsidRPr="006A4DD3">
        <w:t>Пешехонов</w:t>
      </w:r>
      <w:r w:rsidRPr="00F363F6">
        <w:t xml:space="preserve"> </w:t>
      </w:r>
      <w:r w:rsidRPr="006A4DD3">
        <w:t xml:space="preserve">С.Н., </w:t>
      </w:r>
      <w:r w:rsidRPr="006A4DD3">
        <w:rPr>
          <w:vertAlign w:val="superscript"/>
        </w:rPr>
        <w:t>1,3</w:t>
      </w:r>
      <w:r w:rsidRPr="006A4DD3">
        <w:t>Пищинский</w:t>
      </w:r>
      <w:r>
        <w:rPr>
          <w:lang w:val="en-US"/>
        </w:rPr>
        <w:t> </w:t>
      </w:r>
      <w:r w:rsidRPr="006A4DD3">
        <w:t xml:space="preserve">К.В., </w:t>
      </w:r>
      <w:r w:rsidRPr="006A4DD3">
        <w:rPr>
          <w:vertAlign w:val="superscript"/>
        </w:rPr>
        <w:t>1,3</w:t>
      </w:r>
      <w:r w:rsidRPr="006A4DD3">
        <w:t>Полосаткин</w:t>
      </w:r>
      <w:r w:rsidRPr="00F363F6">
        <w:t xml:space="preserve"> </w:t>
      </w:r>
      <w:r>
        <w:t>С.В.</w:t>
      </w:r>
      <w:r w:rsidRPr="006A4DD3">
        <w:t xml:space="preserve">, </w:t>
      </w:r>
      <w:r w:rsidRPr="00E64BF3">
        <w:rPr>
          <w:vertAlign w:val="superscript"/>
        </w:rPr>
        <w:t>1</w:t>
      </w:r>
      <w:r w:rsidRPr="006A4DD3">
        <w:t>Селезнев</w:t>
      </w:r>
      <w:r w:rsidRPr="00F363F6">
        <w:t xml:space="preserve"> </w:t>
      </w:r>
      <w:r w:rsidRPr="006A4DD3">
        <w:t xml:space="preserve">П.А., </w:t>
      </w:r>
      <w:r w:rsidRPr="00E64BF3">
        <w:rPr>
          <w:vertAlign w:val="superscript"/>
        </w:rPr>
        <w:t>1</w:t>
      </w:r>
      <w:r w:rsidRPr="006A4DD3">
        <w:t>Стешов</w:t>
      </w:r>
      <w:r w:rsidRPr="00F363F6">
        <w:t xml:space="preserve"> </w:t>
      </w:r>
      <w:r w:rsidRPr="006A4DD3">
        <w:t xml:space="preserve">А.Г., </w:t>
      </w:r>
      <w:r w:rsidRPr="006A4DD3">
        <w:rPr>
          <w:vertAlign w:val="superscript"/>
        </w:rPr>
        <w:t>1,5</w:t>
      </w:r>
      <w:r w:rsidRPr="006A4DD3">
        <w:t>Суляев</w:t>
      </w:r>
      <w:r w:rsidRPr="00F363F6">
        <w:t xml:space="preserve"> </w:t>
      </w:r>
      <w:r w:rsidRPr="006A4DD3">
        <w:t xml:space="preserve">Ю.С., </w:t>
      </w:r>
      <w:r w:rsidRPr="00E64BF3">
        <w:rPr>
          <w:vertAlign w:val="superscript"/>
        </w:rPr>
        <w:t>1</w:t>
      </w:r>
      <w:r w:rsidRPr="006A4DD3">
        <w:t>Таскаев</w:t>
      </w:r>
      <w:r w:rsidRPr="00F363F6">
        <w:t xml:space="preserve"> </w:t>
      </w:r>
      <w:r>
        <w:t>А.С.</w:t>
      </w:r>
      <w:r w:rsidRPr="006A4DD3">
        <w:t xml:space="preserve">, </w:t>
      </w:r>
      <w:r w:rsidRPr="00E64BF3">
        <w:rPr>
          <w:vertAlign w:val="superscript"/>
        </w:rPr>
        <w:t>1</w:t>
      </w:r>
      <w:r w:rsidRPr="006A4DD3">
        <w:t>Усов</w:t>
      </w:r>
      <w:r w:rsidRPr="00F363F6">
        <w:t xml:space="preserve"> </w:t>
      </w:r>
      <w:r w:rsidRPr="006A4DD3">
        <w:t xml:space="preserve">П.В., </w:t>
      </w:r>
      <w:r w:rsidRPr="00E64BF3">
        <w:rPr>
          <w:vertAlign w:val="superscript"/>
        </w:rPr>
        <w:t>1</w:t>
      </w:r>
      <w:r w:rsidRPr="006A4DD3">
        <w:t>Шарафеева</w:t>
      </w:r>
      <w:r w:rsidRPr="00F363F6">
        <w:t xml:space="preserve"> </w:t>
      </w:r>
      <w:r w:rsidRPr="006A4DD3">
        <w:t xml:space="preserve">С.Р., </w:t>
      </w:r>
      <w:r w:rsidRPr="00E64BF3">
        <w:rPr>
          <w:vertAlign w:val="superscript"/>
        </w:rPr>
        <w:t>1</w:t>
      </w:r>
      <w:r w:rsidRPr="006A4DD3">
        <w:t>Шиянков</w:t>
      </w:r>
      <w:r w:rsidRPr="00F363F6">
        <w:t xml:space="preserve"> </w:t>
      </w:r>
      <w:r w:rsidRPr="006A4DD3">
        <w:t xml:space="preserve">С.В., </w:t>
      </w:r>
      <w:r w:rsidRPr="006A4DD3">
        <w:rPr>
          <w:vertAlign w:val="superscript"/>
        </w:rPr>
        <w:t>1,5</w:t>
      </w:r>
      <w:r w:rsidRPr="006A4DD3">
        <w:t>Шошин</w:t>
      </w:r>
      <w:r w:rsidRPr="00F363F6">
        <w:t xml:space="preserve"> </w:t>
      </w:r>
      <w:r w:rsidRPr="006A4DD3">
        <w:t>А.А.</w:t>
      </w:r>
    </w:p>
    <w:p w:rsidR="00C7429E" w:rsidRPr="00F363F6" w:rsidRDefault="00C7429E" w:rsidP="00C7429E">
      <w:pPr>
        <w:pStyle w:val="Zv-Organization"/>
      </w:pPr>
      <w:r w:rsidRPr="00F363F6">
        <w:rPr>
          <w:vertAlign w:val="superscript"/>
        </w:rPr>
        <w:t>1</w:t>
      </w:r>
      <w:r w:rsidRPr="00F363F6">
        <w:t xml:space="preserve">Институт ядерной физики им. Г.И. Будкера СО РАН, </w:t>
      </w:r>
      <w:bookmarkStart w:id="3" w:name="_Hlk468709084"/>
      <w:r w:rsidRPr="00F363F6">
        <w:t xml:space="preserve">г. Новосибирск, </w:t>
      </w:r>
      <w:bookmarkStart w:id="4" w:name="_Hlk468709076"/>
      <w:r w:rsidRPr="00F363F6">
        <w:t>Россия</w:t>
      </w:r>
      <w:bookmarkEnd w:id="3"/>
      <w:bookmarkEnd w:id="4"/>
      <w:r w:rsidRPr="00F363F6">
        <w:t>,</w:t>
      </w:r>
      <w:r w:rsidRPr="00C7429E">
        <w:br/>
        <w:t xml:space="preserve">    </w:t>
      </w:r>
      <w:r w:rsidRPr="00F363F6">
        <w:t xml:space="preserve"> </w:t>
      </w:r>
      <w:hyperlink r:id="rId7" w:history="1">
        <w:r w:rsidRPr="00F363F6">
          <w:rPr>
            <w:rStyle w:val="a8"/>
          </w:rPr>
          <w:t>M.V.Ivantsivsky@inp.nsk.su</w:t>
        </w:r>
      </w:hyperlink>
      <w:bookmarkStart w:id="5" w:name="_GoBack"/>
      <w:bookmarkEnd w:id="5"/>
      <w:r w:rsidRPr="00F363F6">
        <w:rPr>
          <w:rStyle w:val="a8"/>
        </w:rPr>
        <w:br/>
      </w:r>
      <w:r w:rsidRPr="00F363F6">
        <w:rPr>
          <w:vertAlign w:val="superscript"/>
        </w:rPr>
        <w:t>2</w:t>
      </w:r>
      <w:r w:rsidRPr="00F363F6">
        <w:t>Частное учреждение ГК «РосАтом» «Проектный центр ИТЭР», г. Москва, Россия</w:t>
      </w:r>
      <w:r w:rsidRPr="00F363F6">
        <w:br/>
        <w:t>3Новосибирский государственный технический университет, г. Новосибирск, Россия</w:t>
      </w:r>
      <w:r w:rsidRPr="00F363F6">
        <w:br/>
      </w:r>
      <w:bookmarkStart w:id="6" w:name="_Hlk466995087"/>
      <w:r w:rsidRPr="00F363F6">
        <w:rPr>
          <w:vertAlign w:val="superscript"/>
        </w:rPr>
        <w:t>4</w:t>
      </w:r>
      <w:r w:rsidRPr="00F363F6">
        <w:rPr>
          <w:szCs w:val="24"/>
        </w:rPr>
        <w:t>Санкт-Петербургский политехнический университет им. Петра Великого,</w:t>
      </w:r>
      <w:r w:rsidRPr="00C7429E">
        <w:rPr>
          <w:szCs w:val="24"/>
        </w:rPr>
        <w:br/>
        <w:t xml:space="preserve">    </w:t>
      </w:r>
      <w:r w:rsidRPr="00F363F6">
        <w:rPr>
          <w:szCs w:val="24"/>
        </w:rPr>
        <w:t xml:space="preserve"> </w:t>
      </w:r>
      <w:bookmarkStart w:id="7" w:name="_Hlk468709119"/>
      <w:r w:rsidRPr="00F363F6">
        <w:rPr>
          <w:szCs w:val="24"/>
        </w:rPr>
        <w:t>г. Санкт-Петербург, Россия</w:t>
      </w:r>
      <w:bookmarkEnd w:id="6"/>
      <w:bookmarkEnd w:id="7"/>
      <w:r w:rsidRPr="00F363F6">
        <w:br/>
      </w:r>
      <w:r w:rsidRPr="00F363F6">
        <w:rPr>
          <w:vertAlign w:val="superscript"/>
        </w:rPr>
        <w:t xml:space="preserve">5 </w:t>
      </w:r>
      <w:r w:rsidRPr="00F363F6">
        <w:t>Новосибирский государственный университет, г. Новосибирск, Россия</w:t>
      </w:r>
      <w:r>
        <w:br/>
      </w:r>
      <w:r w:rsidRPr="00F363F6">
        <w:rPr>
          <w:vertAlign w:val="superscript"/>
        </w:rPr>
        <w:t>6</w:t>
      </w:r>
      <w:r w:rsidRPr="00F363F6">
        <w:t xml:space="preserve">ООО «Санкт-петербургское Объединение «Энергопул», </w:t>
      </w:r>
      <w:r w:rsidRPr="00F363F6">
        <w:rPr>
          <w:szCs w:val="24"/>
        </w:rPr>
        <w:t>г. Санкт-Петербург, Россия</w:t>
      </w:r>
    </w:p>
    <w:p w:rsidR="00C7429E" w:rsidRDefault="00C7429E" w:rsidP="00C7429E">
      <w:pPr>
        <w:pStyle w:val="Zv-bodyreport"/>
      </w:pPr>
      <w:r>
        <w:t>ИЯФ СО РАН активно участвует в проекте ИТЭР с 2013 года и занимается разработкой, макетированием и интеграцией элементов будущей установки. В настоящее время институт занимается интеграцией четырех диагностических портов: экваториального порта №11 (поставляемого к первой плазме) и верхних портов №02, №07 и №08; а также является субподрядчиком по двум российским диагностикам: вертикальная нейтронная камера (ВНК) и диверторный монитор нейтронного потока (ДМНП).</w:t>
      </w:r>
    </w:p>
    <w:p w:rsidR="00C7429E" w:rsidRDefault="00C7429E" w:rsidP="00C7429E">
      <w:pPr>
        <w:pStyle w:val="Zv-bodyreport"/>
      </w:pPr>
      <w:r>
        <w:t xml:space="preserve">Данный доклад является обзорным по всем работам и содержит только ключевые результаты. Более подробно, с содержанием работ по отдельным направлениям, можно ознакомиться в стендовых докладах, представленных на конференции. </w:t>
      </w:r>
    </w:p>
    <w:p w:rsidR="00C7429E" w:rsidRDefault="00C7429E" w:rsidP="00C7429E">
      <w:pPr>
        <w:pStyle w:val="Zv-bodyreport"/>
      </w:pPr>
      <w:r>
        <w:t>За прошедший год была переработана конструкция внутрипортовых компонент, конструкции рам в около портовом пространстве и порт-камере, проведен инженерный анализ новых конструкций, в том числе, расчет нейтронных потоков. В поддержку конструкторских работ проводились работы по макетированию элементов проектируемых конструкций, в том числе: керамическая (карбид бора) нейтронная защита диагностического защитного модуля (ДЗМ), направляющая ДЗМ, внутри вакуумные линии связи на основе кабеля с минеральной изоляцией, герметичные электрические вводы.</w:t>
      </w:r>
    </w:p>
    <w:p w:rsidR="00C7429E" w:rsidRPr="00A60978" w:rsidRDefault="00C7429E" w:rsidP="00C7429E">
      <w:pPr>
        <w:pStyle w:val="Zv-bodyreport"/>
        <w:rPr>
          <w:lang w:val="en-US"/>
        </w:rPr>
      </w:pPr>
      <w:r>
        <w:t xml:space="preserve">Для подготовки будущего производства начата отработка технологии глубокого сверления, необходимого для производства диагностических защитных модулей. Был подготовлен и модернизирован, в соответствии с требованиями </w:t>
      </w:r>
      <w:r>
        <w:rPr>
          <w:lang w:val="en-US"/>
        </w:rPr>
        <w:t>RCC</w:t>
      </w:r>
      <w:r w:rsidRPr="003D3684">
        <w:t>-</w:t>
      </w:r>
      <w:r>
        <w:rPr>
          <w:lang w:val="en-US"/>
        </w:rPr>
        <w:t>MR</w:t>
      </w:r>
      <w:r>
        <w:t>, стенд вакуумного отжига для десятитонных ДЗМ. Подготовлен предварительный проект интеграционной площадки для интеграции диагностических портов.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3E" w:rsidRDefault="0091123E">
      <w:r>
        <w:separator/>
      </w:r>
    </w:p>
  </w:endnote>
  <w:endnote w:type="continuationSeparator" w:id="0">
    <w:p w:rsidR="0091123E" w:rsidRDefault="0091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19B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517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3E" w:rsidRDefault="0091123E">
      <w:r>
        <w:separator/>
      </w:r>
    </w:p>
  </w:footnote>
  <w:footnote w:type="continuationSeparator" w:id="0">
    <w:p w:rsidR="0091123E" w:rsidRDefault="00911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C7429E" w:rsidRDefault="007A19B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0517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A19B6"/>
    <w:rsid w:val="007B6378"/>
    <w:rsid w:val="007E06CE"/>
    <w:rsid w:val="00802D35"/>
    <w:rsid w:val="0080517D"/>
    <w:rsid w:val="0091123E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7429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742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.Ivantsivsky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5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Работ в ИЯФ СО РАН по проекту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2017-01-05T13:20:00Z</dcterms:created>
  <dcterms:modified xsi:type="dcterms:W3CDTF">2017-01-05T13:28:00Z</dcterms:modified>
</cp:coreProperties>
</file>