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23A8" w:rsidRDefault="003F23A8">
      <w:pPr>
        <w:pStyle w:val="Zv-Titlereport"/>
        <w:rPr>
          <w:u w:val="single"/>
        </w:rPr>
      </w:pPr>
      <w:bookmarkStart w:id="0" w:name="OLE_LINK5"/>
      <w:bookmarkStart w:id="1" w:name="OLE_LINK6"/>
      <w:r>
        <w:t>Плазменная антенна с пучковой накачкой как механизм генерации мощного субтерагерцового излучения</w:t>
      </w:r>
      <w:bookmarkEnd w:id="0"/>
      <w:bookmarkEnd w:id="1"/>
    </w:p>
    <w:p w:rsidR="003F23A8" w:rsidRDefault="007B5AF3">
      <w:pPr>
        <w:pStyle w:val="Zv-Author"/>
        <w:rPr>
          <w:shd w:val="clear" w:color="auto" w:fill="FFFFFF"/>
          <w:vertAlign w:val="superscript"/>
        </w:rPr>
      </w:pPr>
      <w:r>
        <w:rPr>
          <w:u w:val="single"/>
        </w:rPr>
        <w:t>Е.</w:t>
      </w:r>
      <w:r w:rsidR="003F23A8">
        <w:rPr>
          <w:u w:val="single"/>
        </w:rPr>
        <w:t>П. Волчок</w:t>
      </w:r>
      <w:r w:rsidR="003F23A8">
        <w:rPr>
          <w:vertAlign w:val="superscript"/>
        </w:rPr>
        <w:t>1</w:t>
      </w:r>
      <w:r w:rsidR="004C6CBC">
        <w:rPr>
          <w:vertAlign w:val="superscript"/>
        </w:rPr>
        <w:t>,2</w:t>
      </w:r>
      <w:r>
        <w:t>, В.</w:t>
      </w:r>
      <w:r w:rsidR="003F23A8">
        <w:t>В. Анненков</w:t>
      </w:r>
      <w:r w:rsidR="003F23A8">
        <w:rPr>
          <w:vertAlign w:val="superscript"/>
        </w:rPr>
        <w:t>2</w:t>
      </w:r>
      <w:r>
        <w:t>, И.</w:t>
      </w:r>
      <w:r w:rsidR="003F23A8">
        <w:t>В. Тимофеев</w:t>
      </w:r>
      <w:r w:rsidR="003F23A8">
        <w:rPr>
          <w:vertAlign w:val="superscript"/>
        </w:rPr>
        <w:t>1,2</w:t>
      </w:r>
    </w:p>
    <w:p w:rsidR="003F23A8" w:rsidRDefault="003F23A8">
      <w:pPr>
        <w:pStyle w:val="Zv-Organization"/>
        <w:tabs>
          <w:tab w:val="left" w:pos="5865"/>
        </w:tabs>
      </w:pPr>
      <w:r>
        <w:rPr>
          <w:shd w:val="clear" w:color="auto" w:fill="FFFFFF"/>
          <w:vertAlign w:val="superscript"/>
        </w:rPr>
        <w:t>1</w:t>
      </w:r>
      <w:r>
        <w:rPr>
          <w:shd w:val="clear" w:color="auto" w:fill="FFFFFF"/>
        </w:rPr>
        <w:t xml:space="preserve">Новосибирский государственный университет, </w:t>
      </w:r>
      <w:r w:rsidR="007B5AF3">
        <w:rPr>
          <w:shd w:val="clear" w:color="auto" w:fill="FFFFFF"/>
        </w:rPr>
        <w:t xml:space="preserve">г. </w:t>
      </w:r>
      <w:r>
        <w:rPr>
          <w:shd w:val="clear" w:color="auto" w:fill="FFFFFF"/>
        </w:rPr>
        <w:t xml:space="preserve">Новосибирск, Россия, </w:t>
      </w:r>
      <w:r>
        <w:rPr>
          <w:shd w:val="clear" w:color="auto" w:fill="FFFFFF"/>
        </w:rPr>
        <w:br/>
      </w:r>
      <w:hyperlink r:id="rId7" w:history="1">
        <w:r w:rsidR="00DD73A8" w:rsidRPr="00BB3AB5">
          <w:rPr>
            <w:rStyle w:val="a4"/>
            <w:shd w:val="clear" w:color="auto" w:fill="FFFFFF"/>
          </w:rPr>
          <w:t>Evgeniya-Volchok@yandex.ru</w:t>
        </w:r>
      </w:hyperlink>
      <w:r w:rsidR="00DD73A8" w:rsidRPr="00DD73A8">
        <w:rPr>
          <w:color w:val="000000"/>
          <w:shd w:val="clear" w:color="auto" w:fill="FFFFFF"/>
          <w:lang/>
        </w:rPr>
        <w:br/>
      </w:r>
      <w:r>
        <w:rPr>
          <w:shd w:val="clear" w:color="auto" w:fill="FFFFFF"/>
          <w:vertAlign w:val="superscript"/>
        </w:rPr>
        <w:t>2</w:t>
      </w:r>
      <w:r>
        <w:rPr>
          <w:shd w:val="clear" w:color="auto" w:fill="FFFFFF"/>
        </w:rPr>
        <w:t xml:space="preserve">Институт ядерной физики им. Г.И. Будкера СО РАН, </w:t>
      </w:r>
      <w:r w:rsidR="007B5AF3">
        <w:rPr>
          <w:shd w:val="clear" w:color="auto" w:fill="FFFFFF"/>
        </w:rPr>
        <w:t xml:space="preserve">г. </w:t>
      </w:r>
      <w:r>
        <w:rPr>
          <w:shd w:val="clear" w:color="auto" w:fill="FFFFFF"/>
        </w:rPr>
        <w:t>Новосибирск, Россия</w:t>
      </w:r>
    </w:p>
    <w:p w:rsidR="003F23A8" w:rsidRDefault="003F23A8" w:rsidP="007B5AF3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 xml:space="preserve">Задача генерации электромагнитного излучения вблизи плазменной частоты и её второй гармоники активно изучается как в контексте астрофизических явлений (солнечные радио-всплески III типа, излучение в магнитосферах планет), так и в контексте интерпретации турбулентных процессов, сопровождающих релаксацию мощных электронных пучков в  лабораторных экспериментах [1]. Наш интерес к этой проблеме связан с недавними экспериментами [2] на открытой ловушке ГОЛ-3 (ИЯФ СО РАН), нацеленными на поиск эффективных режимов генерации излучения при инжекции в плазму электронных пучков гигаваттного уровня мощности.  </w:t>
      </w:r>
    </w:p>
    <w:p w:rsidR="003F23A8" w:rsidRDefault="003F23A8" w:rsidP="007B5AF3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>В работе исследована возможность эффективной генерации мощного электромагнитного излучения в тонкой пучково-плазменной системе, поперечные размеры которой сравнимы с длиной излучаемых волн. Показано, что если плотность плазмы промодулирована вдоль магнитного поля с периодом, близким к длине доминирующей пучковой волны, в плазме возбуждается длинноволновый сателлит, способный резонансно взаимодействовать с ЭМ волнами в вакууме. Фактически такая система представляет собой плазменную антенну, способную конвертировать энергию возбуждаемых пучком плазменных волн в энергию электромагнитного излучения. Для поиска оптимальных режимов генерации ЭМ волн с помощью такой плазменной антенны в работе предложена упрощённая теоретическая модель. Показано, что в двумерном варианте результаты этой теории согласуются с результатами PIC моделирования. В частности, теоретический вывод об оптимальной толщине плазмы и величине максимально достижимой мощности излучения полностью подтверждается в численных расчётах. В трёхмерном варианте эта теория позволяет получить оценку мощности субтерагерцового излучения, которое может генерироваться в экспериментах по инжекции гигаваттного релятивистского электронного пучка в замагниченную плазму установки ГОЛ-3. Согласно этим оценкам  мощность субтерагерцового излучения при характерных экспериментальных параметрах может достигать уровня 100 МВт, что составляет десятую часть от полной мощности пучка.</w:t>
      </w:r>
    </w:p>
    <w:p w:rsidR="003F23A8" w:rsidRPr="004C6CBC" w:rsidRDefault="003F23A8" w:rsidP="007B5AF3">
      <w:pPr>
        <w:pStyle w:val="Zv-bodyreport"/>
        <w:suppressAutoHyphens w:val="0"/>
        <w:rPr>
          <w:lang w:eastAsia="ru-RU"/>
        </w:rPr>
      </w:pPr>
      <w:r>
        <w:rPr>
          <w:lang w:eastAsia="ru-RU"/>
        </w:rPr>
        <w:t>Работа поддержана грантом РФФИ № 15-32-20432.</w:t>
      </w:r>
    </w:p>
    <w:p w:rsidR="003F23A8" w:rsidRPr="004C6CBC" w:rsidRDefault="007B5AF3" w:rsidP="007B5AF3">
      <w:pPr>
        <w:pStyle w:val="Zv-TitleReferences-en"/>
        <w:suppressAutoHyphens w:val="0"/>
        <w:rPr>
          <w:lang w:eastAsia="en-US"/>
        </w:rPr>
      </w:pPr>
      <w:r>
        <w:rPr>
          <w:lang w:eastAsia="en-US"/>
        </w:rPr>
        <w:t>Литература</w:t>
      </w:r>
    </w:p>
    <w:p w:rsidR="003F23A8" w:rsidRPr="007B5AF3" w:rsidRDefault="003F23A8" w:rsidP="007B5AF3">
      <w:pPr>
        <w:pStyle w:val="Zv-References-en"/>
        <w:tabs>
          <w:tab w:val="left" w:pos="567"/>
        </w:tabs>
        <w:suppressAutoHyphens w:val="0"/>
        <w:ind w:left="567" w:hanging="567"/>
        <w:rPr>
          <w:lang w:val="de-DE" w:eastAsia="en-US"/>
        </w:rPr>
      </w:pPr>
      <w:r w:rsidRPr="007B5AF3">
        <w:rPr>
          <w:lang w:val="de-DE" w:eastAsia="en-US"/>
        </w:rPr>
        <w:t>I.V.Timofeev, Phys. Plasmas 19, 044501 (2012)</w:t>
      </w:r>
    </w:p>
    <w:p w:rsidR="003F23A8" w:rsidRPr="007B5AF3" w:rsidRDefault="003F23A8" w:rsidP="007B5AF3">
      <w:pPr>
        <w:pStyle w:val="Zv-References-en"/>
        <w:tabs>
          <w:tab w:val="left" w:pos="567"/>
        </w:tabs>
        <w:suppressAutoHyphens w:val="0"/>
        <w:ind w:left="567" w:hanging="567"/>
        <w:rPr>
          <w:lang w:val="de-DE" w:eastAsia="en-US"/>
        </w:rPr>
      </w:pPr>
      <w:r w:rsidRPr="007B5AF3">
        <w:rPr>
          <w:lang w:val="de-DE" w:eastAsia="en-US"/>
        </w:rPr>
        <w:t>A.V.Arzhannikov, A.V.Burdakov, V.S.Burmasov et al., Phys. Plasmas 21, 082106 (2014)</w:t>
      </w:r>
    </w:p>
    <w:sectPr w:rsidR="003F23A8" w:rsidRPr="007B5A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49D" w:rsidRDefault="0005649D">
      <w:r>
        <w:separator/>
      </w:r>
    </w:p>
  </w:endnote>
  <w:endnote w:type="continuationSeparator" w:id="0">
    <w:p w:rsidR="0005649D" w:rsidRDefault="00056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5.55pt;height:13.3pt;z-index:251659264;mso-wrap-distance-left:0;mso-wrap-distance-right:0;mso-position-horizontal:center;mso-position-horizontal-relative:margin" stroked="f">
          <v:fill color2="black"/>
          <v:textbox inset="0,0,0,0">
            <w:txbxContent>
              <w:p w:rsidR="003F23A8" w:rsidRDefault="003F23A8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D73A8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49D" w:rsidRDefault="0005649D">
      <w:r>
        <w:separator/>
      </w:r>
    </w:p>
  </w:footnote>
  <w:footnote w:type="continuationSeparator" w:id="0">
    <w:p w:rsidR="0005649D" w:rsidRDefault="00056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>
    <w:pPr>
      <w:pStyle w:val="a9"/>
      <w:jc w:val="center"/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3F23A8" w:rsidRDefault="003F23A8">
    <w:pPr>
      <w:pStyle w:val="a9"/>
      <w:jc w:val="center"/>
      <w:rPr>
        <w:sz w:val="20"/>
        <w:lang w:val="en-US" w:eastAsia="ru-RU"/>
      </w:rPr>
    </w:pPr>
    <w:r>
      <w:pict>
        <v:line id="_x0000_s1027" style="position:absolute;left:0;text-align:left;z-index:-251658240" from="18pt,1.2pt" to="463.2pt,1.2pt" strokeweight=".26mm">
          <v:stroke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3A8" w:rsidRDefault="003F23A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[%1]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5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C6CBC"/>
    <w:rsid w:val="0005649D"/>
    <w:rsid w:val="0007656F"/>
    <w:rsid w:val="0035602E"/>
    <w:rsid w:val="003F23A8"/>
    <w:rsid w:val="004C6CBC"/>
    <w:rsid w:val="007B5AF3"/>
    <w:rsid w:val="00971517"/>
    <w:rsid w:val="00DD73A8"/>
    <w:rsid w:val="00F4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5z0">
    <w:name w:val="WW8Num5z0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ilvl w:val="0"/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6"/>
    <w:pPr>
      <w:numPr>
        <w:numId w:val="4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pPr>
      <w:numPr>
        <w:numId w:val="6"/>
      </w:numPr>
    </w:pPr>
    <w:rPr>
      <w:lang w:val="en-US"/>
    </w:rPr>
  </w:style>
  <w:style w:type="paragraph" w:customStyle="1" w:styleId="13">
    <w:name w:val="Стиль1"/>
    <w:basedOn w:val="a9"/>
    <w:pPr>
      <w:numPr>
        <w:numId w:val="3"/>
      </w:numPr>
      <w:spacing w:after="120"/>
      <w:ind w:left="426" w:firstLine="0"/>
    </w:pPr>
    <w:rPr>
      <w:lang w:val="en-US"/>
    </w:rPr>
  </w:style>
  <w:style w:type="paragraph" w:customStyle="1" w:styleId="22">
    <w:name w:val="Стиль2"/>
    <w:basedOn w:val="13"/>
    <w:next w:val="13"/>
    <w:pPr>
      <w:numPr>
        <w:numId w:val="5"/>
      </w:numPr>
      <w:ind w:left="360" w:firstLine="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ab">
    <w:name w:val="Содержимое врезки"/>
    <w:basedOn w:val="a"/>
  </w:style>
  <w:style w:type="paragraph" w:customStyle="1" w:styleId="ac">
    <w:name w:val="Блочная цитата"/>
    <w:basedOn w:val="a"/>
    <w:pPr>
      <w:spacing w:after="283"/>
      <w:ind w:left="567" w:right="567"/>
    </w:pPr>
  </w:style>
  <w:style w:type="paragraph" w:styleId="ad">
    <w:name w:val="Title"/>
    <w:basedOn w:val="a5"/>
    <w:next w:val="a6"/>
    <w:qFormat/>
    <w:pPr>
      <w:jc w:val="center"/>
    </w:pPr>
    <w:rPr>
      <w:b/>
      <w:bCs/>
      <w:sz w:val="56"/>
      <w:szCs w:val="56"/>
    </w:rPr>
  </w:style>
  <w:style w:type="paragraph" w:styleId="ae">
    <w:name w:val="Subtitle"/>
    <w:basedOn w:val="a5"/>
    <w:next w:val="a6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geniya-Volchok@yandex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Links>
    <vt:vector size="12" baseType="variant">
      <vt:variant>
        <vt:i4>7733268</vt:i4>
      </vt:variant>
      <vt:variant>
        <vt:i4>3</vt:i4>
      </vt:variant>
      <vt:variant>
        <vt:i4>0</vt:i4>
      </vt:variant>
      <vt:variant>
        <vt:i4>5</vt:i4>
      </vt:variant>
      <vt:variant>
        <vt:lpwstr>mailto:Evgeniya-Volchok@yandex.ru</vt:lpwstr>
      </vt:variant>
      <vt:variant>
        <vt:lpwstr/>
      </vt:variant>
      <vt:variant>
        <vt:i4>7733268</vt:i4>
      </vt:variant>
      <vt:variant>
        <vt:i4>0</vt:i4>
      </vt:variant>
      <vt:variant>
        <vt:i4>0</vt:i4>
      </vt:variant>
      <vt:variant>
        <vt:i4>5</vt:i4>
      </vt:variant>
      <vt:variant>
        <vt:lpwstr>mailto:Evgeniya-Volchok@yandex.ru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антенна с пучковой накачкой как механизм генерации мощного субтерагерцового излучения</dc:title>
  <dc:subject/>
  <dc:creator>Evgenia  Volchok</dc:creator>
  <cp:keywords/>
  <dc:description/>
  <cp:lastModifiedBy>Сергей Сатунин</cp:lastModifiedBy>
  <cp:revision>2</cp:revision>
  <cp:lastPrinted>1601-01-01T00:00:00Z</cp:lastPrinted>
  <dcterms:created xsi:type="dcterms:W3CDTF">2016-01-08T17:19:00Z</dcterms:created>
  <dcterms:modified xsi:type="dcterms:W3CDTF">2016-01-08T17:19:00Z</dcterms:modified>
</cp:coreProperties>
</file>