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0A" w:rsidRPr="007F7D0A" w:rsidRDefault="007F7D0A" w:rsidP="007F7D0A">
      <w:pPr>
        <w:pStyle w:val="Zv-Titlereport"/>
        <w:tabs>
          <w:tab w:val="left" w:pos="8789"/>
        </w:tabs>
        <w:ind w:left="851" w:right="566"/>
        <w:rPr>
          <w:lang w:val="en-US"/>
        </w:rPr>
      </w:pPr>
      <w:r w:rsidRPr="00785960">
        <w:rPr>
          <w:lang/>
        </w:rPr>
        <w:t xml:space="preserve">Filamentation </w:t>
      </w:r>
      <w:r w:rsidRPr="00785960">
        <w:rPr>
          <w:lang w:val="en-US"/>
        </w:rPr>
        <w:t xml:space="preserve">of </w:t>
      </w:r>
      <w:r w:rsidRPr="00785960">
        <w:rPr>
          <w:lang/>
        </w:rPr>
        <w:t>Capacitive Radio-Frequency Discharge at Low Pressures</w:t>
      </w:r>
    </w:p>
    <w:p w:rsidR="007F7D0A" w:rsidRDefault="007F7D0A" w:rsidP="007F7D0A">
      <w:pPr>
        <w:pStyle w:val="Zv-Author"/>
        <w:rPr>
          <w:lang w:val="en-US"/>
        </w:rPr>
      </w:pPr>
      <w:smartTag w:uri="urn:schemas-microsoft-com:office:smarttags" w:element="country-region">
        <w:smartTag w:uri="urn:schemas-microsoft-com:office:smarttags" w:element="place">
          <w:r>
            <w:rPr>
              <w:lang w:val="en-US"/>
            </w:rPr>
            <w:t>S.A.</w:t>
          </w:r>
        </w:smartTag>
      </w:smartTag>
      <w:r>
        <w:rPr>
          <w:lang w:val="en-US"/>
        </w:rPr>
        <w:t xml:space="preserve"> Dvinin</w:t>
      </w:r>
      <w:r w:rsidRPr="00D05477">
        <w:rPr>
          <w:lang w:val="en-US"/>
        </w:rPr>
        <w:t xml:space="preserve"> </w:t>
      </w:r>
      <w:r>
        <w:rPr>
          <w:lang w:val="en-US"/>
        </w:rPr>
        <w:t>and Z.A. Kodirzoda</w:t>
      </w:r>
    </w:p>
    <w:p w:rsidR="007F7D0A" w:rsidRPr="007F7D0A" w:rsidRDefault="007F7D0A" w:rsidP="007F7D0A">
      <w:pPr>
        <w:pStyle w:val="Zv-Organization"/>
        <w:rPr>
          <w:lang w:val="en-US"/>
        </w:rPr>
      </w:pPr>
      <w:r w:rsidRPr="00BB7D63">
        <w:rPr>
          <w:lang w:val="en-US"/>
        </w:rPr>
        <w:t xml:space="preserve">Lomonosov Moscow State university, Moscow, Russia, </w:t>
      </w:r>
      <w:hyperlink r:id="rId7" w:history="1">
        <w:r w:rsidRPr="00BB7D63">
          <w:rPr>
            <w:rStyle w:val="a7"/>
            <w:lang w:val="en-US"/>
          </w:rPr>
          <w:t>s_dvinin@mail.ru</w:t>
        </w:r>
      </w:hyperlink>
    </w:p>
    <w:p w:rsidR="007F7D0A" w:rsidRPr="00FF5609" w:rsidRDefault="007F7D0A" w:rsidP="007F7D0A">
      <w:pPr>
        <w:pStyle w:val="Zv-bodyreport"/>
        <w:rPr>
          <w:lang w:val="en-US"/>
        </w:rPr>
      </w:pPr>
      <w:r>
        <w:rPr>
          <w:lang w:val="en-US"/>
        </w:rPr>
        <w:t>D</w:t>
      </w:r>
      <w:r w:rsidRPr="008B55C3">
        <w:rPr>
          <w:lang w:val="en-US"/>
        </w:rPr>
        <w:t>ischarge instabilit</w:t>
      </w:r>
      <w:r>
        <w:rPr>
          <w:lang w:val="en-US"/>
        </w:rPr>
        <w:t xml:space="preserve">ies, </w:t>
      </w:r>
      <w:r w:rsidRPr="008B55C3">
        <w:rPr>
          <w:lang w:val="en-US"/>
        </w:rPr>
        <w:t>resulting in failure of uniform plasma density distribution</w:t>
      </w:r>
      <w:r>
        <w:rPr>
          <w:lang w:val="en-US"/>
        </w:rPr>
        <w:t>, may occur [1 – </w:t>
      </w:r>
      <w:r w:rsidRPr="008B55C3">
        <w:rPr>
          <w:lang w:val="en-US"/>
        </w:rPr>
        <w:t>3]. The model [1] associate</w:t>
      </w:r>
      <w:r>
        <w:rPr>
          <w:lang w:val="en-US"/>
        </w:rPr>
        <w:t xml:space="preserve">s these </w:t>
      </w:r>
      <w:r w:rsidRPr="008B55C3">
        <w:rPr>
          <w:lang w:val="en-US"/>
        </w:rPr>
        <w:t>instabilit</w:t>
      </w:r>
      <w:r>
        <w:rPr>
          <w:lang w:val="en-US"/>
        </w:rPr>
        <w:t>ies</w:t>
      </w:r>
      <w:r w:rsidRPr="008B55C3">
        <w:rPr>
          <w:lang w:val="en-US"/>
        </w:rPr>
        <w:t xml:space="preserve"> with the peculiarities of transfer processes in the non-Maxwellian</w:t>
      </w:r>
      <w:r w:rsidRPr="00B54F26">
        <w:rPr>
          <w:lang w:val="en-US"/>
        </w:rPr>
        <w:t xml:space="preserve"> </w:t>
      </w:r>
      <w:r>
        <w:rPr>
          <w:lang w:val="en-US"/>
        </w:rPr>
        <w:t>electron energy</w:t>
      </w:r>
      <w:r w:rsidRPr="008B55C3">
        <w:rPr>
          <w:lang w:val="en-US"/>
        </w:rPr>
        <w:t xml:space="preserve"> distribution function. In this paper we consider the stability of capacitive gas discharge between two cylindrical electrodes with height L radii R</w:t>
      </w:r>
      <w:r w:rsidRPr="008B55C3">
        <w:rPr>
          <w:vertAlign w:val="subscript"/>
          <w:lang w:val="en-US"/>
        </w:rPr>
        <w:t>1</w:t>
      </w:r>
      <w:r w:rsidRPr="008B55C3">
        <w:rPr>
          <w:lang w:val="en-US"/>
        </w:rPr>
        <w:t xml:space="preserve"> and R</w:t>
      </w:r>
      <w:r w:rsidRPr="008B55C3">
        <w:rPr>
          <w:vertAlign w:val="subscript"/>
          <w:lang w:val="en-US"/>
        </w:rPr>
        <w:t>2</w:t>
      </w:r>
      <w:r w:rsidRPr="008B55C3">
        <w:rPr>
          <w:lang w:val="en-US"/>
        </w:rPr>
        <w:t xml:space="preserve"> at low pressure. To construct electrodynamic model the existence of plasma sheathes with thicknesses d</w:t>
      </w:r>
      <w:r w:rsidRPr="008B55C3">
        <w:rPr>
          <w:vertAlign w:val="subscript"/>
          <w:lang w:val="en-US"/>
        </w:rPr>
        <w:t>1</w:t>
      </w:r>
      <w:r w:rsidRPr="008B55C3">
        <w:rPr>
          <w:lang w:val="en-US"/>
        </w:rPr>
        <w:t xml:space="preserve"> and d</w:t>
      </w:r>
      <w:r w:rsidRPr="008B55C3">
        <w:rPr>
          <w:vertAlign w:val="subscript"/>
          <w:lang w:val="en-US"/>
        </w:rPr>
        <w:t xml:space="preserve">2 </w:t>
      </w:r>
      <w:r w:rsidRPr="008B55C3">
        <w:rPr>
          <w:lang w:val="en-US"/>
        </w:rPr>
        <w:t>are taking into account. d</w:t>
      </w:r>
      <w:r w:rsidRPr="008B55C3">
        <w:rPr>
          <w:vertAlign w:val="subscript"/>
          <w:lang w:val="en-US"/>
        </w:rPr>
        <w:t>1</w:t>
      </w:r>
      <w:r w:rsidRPr="008B55C3">
        <w:rPr>
          <w:lang w:val="en-US"/>
        </w:rPr>
        <w:t xml:space="preserve"> and d</w:t>
      </w:r>
      <w:r w:rsidRPr="008B55C3">
        <w:rPr>
          <w:vertAlign w:val="subscript"/>
          <w:lang w:val="en-US"/>
        </w:rPr>
        <w:t>2</w:t>
      </w:r>
      <w:r w:rsidRPr="008B55C3">
        <w:rPr>
          <w:lang w:val="en-US"/>
        </w:rPr>
        <w:t xml:space="preserve"> values are calculated as a function of electron density, temperature and electric field strength [4], using matrix </w:t>
      </w:r>
      <w:r w:rsidRPr="00FF5609">
        <w:rPr>
          <w:lang w:val="en-US"/>
        </w:rPr>
        <w:t xml:space="preserve">sheath model [5]. Assuming that the electrode potential is </w:t>
      </w:r>
      <w:r w:rsidRPr="00FF5609">
        <w:rPr>
          <w:i/>
          <w:lang w:val="en-US"/>
        </w:rPr>
        <w:t>U</w:t>
      </w:r>
      <w:r w:rsidRPr="00FF5609">
        <w:rPr>
          <w:lang w:val="en-US"/>
        </w:rPr>
        <w:t>=</w:t>
      </w:r>
      <w:r w:rsidRPr="00FF5609">
        <w:rPr>
          <w:i/>
          <w:lang w:val="en-US"/>
        </w:rPr>
        <w:t>U</w:t>
      </w:r>
      <w:r w:rsidRPr="00FF5609">
        <w:rPr>
          <w:vertAlign w:val="subscript"/>
          <w:lang w:val="en-US"/>
        </w:rPr>
        <w:t>S</w:t>
      </w:r>
      <w:r w:rsidRPr="00FF5609">
        <w:rPr>
          <w:lang w:val="en-US"/>
        </w:rPr>
        <w:t>–</w:t>
      </w:r>
      <w:r w:rsidRPr="00FF5609">
        <w:rPr>
          <w:i/>
          <w:lang w:val="en-US"/>
        </w:rPr>
        <w:t>Z</w:t>
      </w:r>
      <w:r w:rsidRPr="00FF5609">
        <w:rPr>
          <w:vertAlign w:val="subscript"/>
          <w:lang w:val="en-US"/>
        </w:rPr>
        <w:t>S</w:t>
      </w:r>
      <w:r w:rsidRPr="00FF5609">
        <w:rPr>
          <w:i/>
          <w:lang w:val="en-US"/>
        </w:rPr>
        <w:t>I</w:t>
      </w:r>
      <w:r w:rsidRPr="00FF5609">
        <w:rPr>
          <w:lang w:val="en-US"/>
        </w:rPr>
        <w:t xml:space="preserve">, where </w:t>
      </w:r>
      <w:r w:rsidRPr="00FF5609">
        <w:rPr>
          <w:i/>
          <w:lang w:val="en-US"/>
        </w:rPr>
        <w:t>U</w:t>
      </w:r>
      <w:r w:rsidRPr="00FF5609">
        <w:rPr>
          <w:vertAlign w:val="subscript"/>
          <w:lang w:val="en-US"/>
        </w:rPr>
        <w:t>S</w:t>
      </w:r>
      <w:r w:rsidRPr="00FF5609">
        <w:rPr>
          <w:lang w:val="en-US"/>
        </w:rPr>
        <w:t xml:space="preserve">, </w:t>
      </w:r>
      <w:r w:rsidRPr="00FF5609">
        <w:rPr>
          <w:i/>
          <w:lang w:val="en-US"/>
        </w:rPr>
        <w:t>Z</w:t>
      </w:r>
      <w:r w:rsidRPr="00FF5609">
        <w:rPr>
          <w:vertAlign w:val="subscript"/>
          <w:lang w:val="en-US"/>
        </w:rPr>
        <w:t>S</w:t>
      </w:r>
      <w:r w:rsidRPr="00FF5609">
        <w:rPr>
          <w:lang w:val="en-US"/>
        </w:rPr>
        <w:t xml:space="preserve"> are e.m.f. and internal impedance of RF source, we will find that electron density n evolution is described by equation</w:t>
      </w:r>
    </w:p>
    <w:p w:rsidR="007F7D0A" w:rsidRPr="008B55C3" w:rsidRDefault="007F7D0A" w:rsidP="007F7D0A">
      <w:pPr>
        <w:snapToGrid w:val="0"/>
        <w:spacing w:line="240" w:lineRule="atLeast"/>
        <w:ind w:leftChars="135" w:left="324" w:rightChars="165" w:right="396"/>
        <w:jc w:val="center"/>
        <w:rPr>
          <w:lang w:val="en-US"/>
        </w:rPr>
      </w:pPr>
      <w:r w:rsidRPr="008B55C3">
        <w:rPr>
          <w:position w:val="-34"/>
        </w:rPr>
        <w:object w:dxaOrig="28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8.25pt" o:ole="">
            <v:imagedata r:id="rId8" o:title=""/>
          </v:shape>
          <o:OLEObject Type="Embed" ProgID="Equation.3" ShapeID="_x0000_i1025" DrawAspect="Content" ObjectID="_1513537833" r:id="rId9"/>
        </w:object>
      </w:r>
      <w:r>
        <w:rPr>
          <w:lang w:val="en-US"/>
        </w:rPr>
        <w:t>,</w:t>
      </w:r>
    </w:p>
    <w:p w:rsidR="007F7D0A" w:rsidRPr="008B55C3" w:rsidRDefault="007F7D0A" w:rsidP="007F7D0A">
      <w:pPr>
        <w:pStyle w:val="Zv-bodyreportcont"/>
        <w:rPr>
          <w:lang w:val="en-US"/>
        </w:rPr>
      </w:pPr>
      <w:r w:rsidRPr="008B55C3">
        <w:rPr>
          <w:lang w:val="en-US"/>
        </w:rPr>
        <w:t xml:space="preserve">where </w:t>
      </w:r>
      <w:r w:rsidRPr="008B55C3">
        <w:rPr>
          <w:i/>
          <w:lang w:val="en-US"/>
        </w:rPr>
        <w:t>F</w:t>
      </w:r>
      <w:r w:rsidRPr="008B55C3">
        <w:rPr>
          <w:lang w:val="en-US"/>
        </w:rPr>
        <w:t>(</w:t>
      </w:r>
      <w:r w:rsidRPr="008B55C3">
        <w:rPr>
          <w:i/>
          <w:lang w:val="en-US"/>
        </w:rPr>
        <w:t>N</w:t>
      </w:r>
      <w:r w:rsidRPr="008B55C3">
        <w:rPr>
          <w:lang w:val="en-US"/>
        </w:rPr>
        <w:t>)={</w:t>
      </w:r>
      <w:r w:rsidRPr="008B55C3">
        <w:rPr>
          <w:i/>
          <w:lang w:val="en-US"/>
        </w:rPr>
        <w:t>F</w:t>
      </w:r>
      <w:r w:rsidRPr="008B55C3">
        <w:rPr>
          <w:vertAlign w:val="subscript"/>
          <w:lang w:val="en-US"/>
        </w:rPr>
        <w:t>1</w:t>
      </w:r>
      <w:r w:rsidRPr="008B55C3">
        <w:rPr>
          <w:lang w:val="en-US"/>
        </w:rPr>
        <w:t>(</w:t>
      </w:r>
      <w:r w:rsidRPr="008B55C3">
        <w:rPr>
          <w:i/>
          <w:lang w:val="en-US"/>
        </w:rPr>
        <w:t>N</w:t>
      </w:r>
      <w:r w:rsidRPr="008B55C3">
        <w:rPr>
          <w:lang w:val="en-US"/>
        </w:rPr>
        <w:t>)–1}</w:t>
      </w:r>
      <w:r w:rsidRPr="008B55C3">
        <w:rPr>
          <w:i/>
          <w:lang w:val="en-US"/>
        </w:rPr>
        <w:t>N</w:t>
      </w:r>
      <w:r w:rsidRPr="008B55C3">
        <w:rPr>
          <w:lang w:val="en-US"/>
        </w:rPr>
        <w:t xml:space="preserve">, </w:t>
      </w:r>
      <w:r w:rsidRPr="008B55C3">
        <w:rPr>
          <w:i/>
          <w:lang w:val="en-US"/>
        </w:rPr>
        <w:t>F</w:t>
      </w:r>
      <w:r w:rsidRPr="008B55C3">
        <w:rPr>
          <w:vertAlign w:val="subscript"/>
          <w:lang w:val="en-US"/>
        </w:rPr>
        <w:t>1</w:t>
      </w:r>
      <w:r w:rsidRPr="008B55C3">
        <w:rPr>
          <w:lang w:val="en-US"/>
        </w:rPr>
        <w:t>(</w:t>
      </w:r>
      <w:r w:rsidRPr="008B55C3">
        <w:rPr>
          <w:i/>
          <w:lang w:val="en-US"/>
        </w:rPr>
        <w:t>N</w:t>
      </w:r>
      <w:r w:rsidRPr="008B55C3">
        <w:rPr>
          <w:lang w:val="en-US"/>
        </w:rPr>
        <w:t>)=</w:t>
      </w:r>
      <w:r w:rsidRPr="008B55C3">
        <w:rPr>
          <w:i/>
        </w:rPr>
        <w:sym w:font="Symbol" w:char="F078"/>
      </w:r>
      <w:r w:rsidRPr="008B55C3">
        <w:rPr>
          <w:lang w:val="en-US"/>
        </w:rPr>
        <w:t>{(1–</w:t>
      </w:r>
      <w:r w:rsidRPr="008B55C3">
        <w:rPr>
          <w:i/>
          <w:lang w:val="en-US"/>
        </w:rPr>
        <w:t>N</w:t>
      </w:r>
      <w:r w:rsidRPr="008B55C3">
        <w:rPr>
          <w:lang w:val="en-US"/>
        </w:rPr>
        <w:t>)</w:t>
      </w:r>
      <w:r w:rsidRPr="008B55C3">
        <w:rPr>
          <w:vertAlign w:val="superscript"/>
          <w:lang w:val="en-US"/>
        </w:rPr>
        <w:t>2</w:t>
      </w:r>
      <w:r w:rsidRPr="008B55C3">
        <w:rPr>
          <w:lang w:val="en-US"/>
        </w:rPr>
        <w:t>+</w:t>
      </w:r>
      <w:r w:rsidRPr="008B55C3">
        <w:rPr>
          <w:i/>
          <w:lang w:val="en-US"/>
        </w:rPr>
        <w:t>N</w:t>
      </w:r>
      <w:r w:rsidRPr="008B55C3">
        <w:rPr>
          <w:vertAlign w:val="superscript"/>
          <w:lang w:val="en-US"/>
        </w:rPr>
        <w:t>2</w:t>
      </w:r>
      <w:r w:rsidRPr="008B55C3">
        <w:sym w:font="Symbol" w:char="F06E"/>
      </w:r>
      <w:r w:rsidRPr="008B55C3">
        <w:rPr>
          <w:vertAlign w:val="superscript"/>
          <w:lang w:val="en-US"/>
        </w:rPr>
        <w:t>2</w:t>
      </w:r>
      <w:r w:rsidRPr="008B55C3">
        <w:rPr>
          <w:lang w:val="en-US"/>
        </w:rPr>
        <w:t>/</w:t>
      </w:r>
      <w:r w:rsidRPr="008B55C3">
        <w:sym w:font="Symbol" w:char="F077"/>
      </w:r>
      <w:r w:rsidRPr="008B55C3">
        <w:rPr>
          <w:vertAlign w:val="superscript"/>
          <w:lang w:val="en-US"/>
        </w:rPr>
        <w:t>2</w:t>
      </w:r>
      <w:r w:rsidRPr="008B55C3">
        <w:rPr>
          <w:lang w:val="en-US"/>
        </w:rPr>
        <w:t>}</w:t>
      </w:r>
      <w:r w:rsidRPr="008B55C3">
        <w:rPr>
          <w:vertAlign w:val="superscript"/>
          <w:lang w:val="en-US"/>
        </w:rPr>
        <w:t>–</w:t>
      </w:r>
      <w:r w:rsidRPr="008B55C3">
        <w:rPr>
          <w:vertAlign w:val="superscript"/>
        </w:rPr>
        <w:sym w:font="Symbol" w:char="F067"/>
      </w:r>
      <w:r w:rsidRPr="008B55C3">
        <w:rPr>
          <w:lang w:val="en-US"/>
        </w:rPr>
        <w:t xml:space="preserve">, </w:t>
      </w:r>
      <w:r w:rsidRPr="008B55C3">
        <w:rPr>
          <w:i/>
          <w:lang w:val="en-US"/>
        </w:rPr>
        <w:t>N</w:t>
      </w:r>
      <w:r w:rsidRPr="008B55C3">
        <w:rPr>
          <w:lang w:val="en-US"/>
        </w:rPr>
        <w:t>=</w:t>
      </w:r>
      <w:r w:rsidRPr="008B55C3">
        <w:rPr>
          <w:i/>
          <w:lang w:val="en-US"/>
        </w:rPr>
        <w:t>n</w:t>
      </w:r>
      <w:r w:rsidRPr="008B55C3">
        <w:rPr>
          <w:lang w:val="en-US"/>
        </w:rPr>
        <w:t>(</w:t>
      </w:r>
      <w:r w:rsidRPr="008B55C3">
        <w:rPr>
          <w:i/>
          <w:lang w:val="en-US"/>
        </w:rPr>
        <w:t>R</w:t>
      </w:r>
      <w:r w:rsidRPr="008B55C3">
        <w:rPr>
          <w:vertAlign w:val="subscript"/>
          <w:lang w:val="en-US"/>
        </w:rPr>
        <w:t>2</w:t>
      </w:r>
      <w:r w:rsidRPr="008B55C3">
        <w:rPr>
          <w:lang w:val="en-US"/>
        </w:rPr>
        <w:t>–</w:t>
      </w:r>
      <w:r w:rsidRPr="008B55C3">
        <w:rPr>
          <w:i/>
          <w:lang w:val="en-US"/>
        </w:rPr>
        <w:t>R</w:t>
      </w:r>
      <w:r w:rsidRPr="008B55C3">
        <w:rPr>
          <w:vertAlign w:val="subscript"/>
          <w:lang w:val="en-US"/>
        </w:rPr>
        <w:t>1</w:t>
      </w:r>
      <w:r w:rsidRPr="008B55C3">
        <w:rPr>
          <w:lang w:val="en-US"/>
        </w:rPr>
        <w:t>)/</w:t>
      </w:r>
      <w:r w:rsidRPr="008B55C3">
        <w:rPr>
          <w:i/>
          <w:lang w:val="en-US"/>
        </w:rPr>
        <w:t>n</w:t>
      </w:r>
      <w:r w:rsidRPr="008B55C3">
        <w:rPr>
          <w:vertAlign w:val="subscript"/>
          <w:lang w:val="en-US"/>
        </w:rPr>
        <w:t>C</w:t>
      </w:r>
      <w:r w:rsidRPr="008B55C3">
        <w:rPr>
          <w:lang w:val="en-US"/>
        </w:rPr>
        <w:t>/(</w:t>
      </w:r>
      <w:r w:rsidRPr="008B55C3">
        <w:rPr>
          <w:i/>
          <w:lang w:val="en-US"/>
        </w:rPr>
        <w:t>d</w:t>
      </w:r>
      <w:r w:rsidRPr="008B55C3">
        <w:rPr>
          <w:vertAlign w:val="subscript"/>
          <w:lang w:val="en-US"/>
        </w:rPr>
        <w:t>1</w:t>
      </w:r>
      <w:r w:rsidRPr="008B55C3">
        <w:rPr>
          <w:lang w:val="en-US"/>
        </w:rPr>
        <w:t>+</w:t>
      </w:r>
      <w:r w:rsidRPr="008B55C3">
        <w:rPr>
          <w:i/>
          <w:lang w:val="en-US"/>
        </w:rPr>
        <w:t>d</w:t>
      </w:r>
      <w:r w:rsidRPr="008B55C3">
        <w:rPr>
          <w:vertAlign w:val="subscript"/>
          <w:lang w:val="en-US"/>
        </w:rPr>
        <w:t>2</w:t>
      </w:r>
      <w:r w:rsidRPr="008B55C3">
        <w:rPr>
          <w:lang w:val="en-US"/>
        </w:rPr>
        <w:t xml:space="preserve">), </w:t>
      </w:r>
      <w:r w:rsidRPr="008B55C3">
        <w:rPr>
          <w:i/>
          <w:lang w:val="en-US"/>
        </w:rPr>
        <w:t>n</w:t>
      </w:r>
      <w:r w:rsidRPr="008B55C3">
        <w:rPr>
          <w:vertAlign w:val="subscript"/>
          <w:lang w:val="en-US"/>
        </w:rPr>
        <w:t>C</w:t>
      </w:r>
      <w:r w:rsidRPr="008B55C3">
        <w:rPr>
          <w:lang w:val="en-US"/>
        </w:rPr>
        <w:t>=</w:t>
      </w:r>
      <w:r w:rsidRPr="008B55C3">
        <w:rPr>
          <w:i/>
          <w:lang w:val="en-US"/>
        </w:rPr>
        <w:t>m</w:t>
      </w:r>
      <w:r w:rsidRPr="008B55C3">
        <w:sym w:font="Symbol" w:char="F077"/>
      </w:r>
      <w:r w:rsidRPr="008B55C3">
        <w:rPr>
          <w:vertAlign w:val="superscript"/>
          <w:lang w:val="en-US"/>
        </w:rPr>
        <w:t>2</w:t>
      </w:r>
      <w:r w:rsidRPr="008B55C3">
        <w:rPr>
          <w:lang w:val="en-US"/>
        </w:rPr>
        <w:t>/4</w:t>
      </w:r>
      <w:r w:rsidRPr="008B55C3">
        <w:rPr>
          <w:i/>
        </w:rPr>
        <w:sym w:font="Symbol" w:char="F070"/>
      </w:r>
      <w:r w:rsidRPr="008B55C3">
        <w:rPr>
          <w:i/>
          <w:lang w:val="en-US"/>
        </w:rPr>
        <w:t>e</w:t>
      </w:r>
      <w:r w:rsidRPr="008B55C3">
        <w:rPr>
          <w:vertAlign w:val="superscript"/>
          <w:lang w:val="en-US"/>
        </w:rPr>
        <w:t>2</w:t>
      </w:r>
      <w:r w:rsidRPr="008B55C3">
        <w:rPr>
          <w:lang w:val="en-US"/>
        </w:rPr>
        <w:t xml:space="preserve">, </w:t>
      </w:r>
      <w:r w:rsidRPr="008B55C3">
        <w:rPr>
          <w:i/>
        </w:rPr>
        <w:sym w:font="Symbol" w:char="F078"/>
      </w:r>
      <w:r w:rsidRPr="008B55C3">
        <w:rPr>
          <w:vertAlign w:val="subscript"/>
          <w:lang w:val="en-US"/>
        </w:rPr>
        <w:t>0</w:t>
      </w:r>
      <w:r w:rsidRPr="008B55C3">
        <w:rPr>
          <w:i/>
          <w:lang w:val="en-US"/>
        </w:rPr>
        <w:t>=</w:t>
      </w:r>
      <w:r w:rsidRPr="008B55C3">
        <w:rPr>
          <w:i/>
        </w:rPr>
        <w:sym w:font="Symbol" w:char="F06E"/>
      </w:r>
      <w:r w:rsidRPr="008B55C3">
        <w:rPr>
          <w:i/>
          <w:vertAlign w:val="subscript"/>
          <w:lang w:val="en-US"/>
        </w:rPr>
        <w:t>i</w:t>
      </w:r>
      <w:r w:rsidRPr="008B55C3">
        <w:rPr>
          <w:vertAlign w:val="subscript"/>
          <w:lang w:val="en-US"/>
        </w:rPr>
        <w:t>0</w:t>
      </w:r>
      <w:r w:rsidRPr="008B55C3">
        <w:rPr>
          <w:i/>
        </w:rPr>
        <w:sym w:font="Symbol" w:char="F04C"/>
      </w:r>
      <w:r w:rsidRPr="008B55C3">
        <w:rPr>
          <w:i/>
          <w:vertAlign w:val="superscript"/>
          <w:lang w:val="en-US"/>
        </w:rPr>
        <w:t>2</w:t>
      </w:r>
      <w:r w:rsidRPr="008B55C3">
        <w:rPr>
          <w:i/>
          <w:lang w:val="en-US"/>
        </w:rPr>
        <w:t>/D</w:t>
      </w:r>
      <w:r w:rsidRPr="008B55C3">
        <w:rPr>
          <w:vertAlign w:val="subscript"/>
          <w:lang w:val="en-US"/>
        </w:rPr>
        <w:t>a</w:t>
      </w:r>
      <w:r w:rsidRPr="008B55C3">
        <w:rPr>
          <w:lang w:val="en-US"/>
        </w:rPr>
        <w:t xml:space="preserve">, </w:t>
      </w:r>
      <w:r w:rsidRPr="008B55C3">
        <w:rPr>
          <w:i/>
        </w:rPr>
        <w:sym w:font="Symbol" w:char="F078"/>
      </w:r>
      <w:r w:rsidRPr="008B55C3">
        <w:rPr>
          <w:i/>
          <w:lang w:val="en-US"/>
        </w:rPr>
        <w:t>=</w:t>
      </w:r>
      <w:r w:rsidRPr="008B55C3">
        <w:rPr>
          <w:i/>
        </w:rPr>
        <w:sym w:font="Symbol" w:char="F078"/>
      </w:r>
      <w:r w:rsidRPr="008B55C3">
        <w:rPr>
          <w:vertAlign w:val="subscript"/>
          <w:lang w:val="en-US"/>
        </w:rPr>
        <w:t>0</w:t>
      </w:r>
      <w:r w:rsidRPr="008B55C3">
        <w:rPr>
          <w:lang w:val="en-US"/>
        </w:rPr>
        <w:t>(</w:t>
      </w:r>
      <w:r w:rsidRPr="008B55C3">
        <w:rPr>
          <w:i/>
          <w:lang w:val="en-US"/>
        </w:rPr>
        <w:t>U</w:t>
      </w:r>
      <w:r w:rsidRPr="008B55C3">
        <w:rPr>
          <w:lang w:val="en-US"/>
        </w:rPr>
        <w:t>/</w:t>
      </w:r>
      <w:r w:rsidRPr="008B55C3">
        <w:rPr>
          <w:i/>
          <w:lang w:val="en-US"/>
        </w:rPr>
        <w:t>U</w:t>
      </w:r>
      <w:r w:rsidRPr="008B55C3">
        <w:rPr>
          <w:i/>
          <w:vertAlign w:val="subscript"/>
          <w:lang w:val="en-US"/>
        </w:rPr>
        <w:t>S</w:t>
      </w:r>
      <w:r w:rsidRPr="008B55C3">
        <w:rPr>
          <w:lang w:val="en-US"/>
        </w:rPr>
        <w:t>)</w:t>
      </w:r>
      <w:r w:rsidRPr="008B55C3">
        <w:rPr>
          <w:vertAlign w:val="superscript"/>
        </w:rPr>
        <w:sym w:font="Symbol" w:char="F067"/>
      </w:r>
      <w:r w:rsidRPr="008B55C3">
        <w:rPr>
          <w:lang w:val="en-US"/>
        </w:rPr>
        <w:t xml:space="preserve">. In analytic model we use power approximation for ionization frequency </w:t>
      </w:r>
      <w:r w:rsidRPr="008B55C3">
        <w:rPr>
          <w:i/>
        </w:rPr>
        <w:sym w:font="Symbol" w:char="F06E"/>
      </w:r>
      <w:r w:rsidRPr="008B55C3">
        <w:rPr>
          <w:vertAlign w:val="subscript"/>
          <w:lang w:val="en-US"/>
        </w:rPr>
        <w:t>i</w:t>
      </w:r>
      <w:r w:rsidRPr="008B55C3">
        <w:rPr>
          <w:i/>
          <w:lang w:val="en-US"/>
        </w:rPr>
        <w:t>=</w:t>
      </w:r>
      <w:r w:rsidRPr="008B55C3">
        <w:rPr>
          <w:i/>
        </w:rPr>
        <w:sym w:font="Symbol" w:char="F06E"/>
      </w:r>
      <w:r w:rsidRPr="008B55C3">
        <w:rPr>
          <w:vertAlign w:val="subscript"/>
          <w:lang w:val="en-US"/>
        </w:rPr>
        <w:t>i0</w:t>
      </w:r>
      <w:r w:rsidRPr="008B55C3">
        <w:rPr>
          <w:lang w:val="en-US"/>
        </w:rPr>
        <w:t>(</w:t>
      </w:r>
      <w:r w:rsidRPr="008B55C3">
        <w:rPr>
          <w:i/>
          <w:lang w:val="en-US"/>
        </w:rPr>
        <w:t>E</w:t>
      </w:r>
      <w:r w:rsidRPr="008B55C3">
        <w:rPr>
          <w:lang w:val="en-US"/>
        </w:rPr>
        <w:t>/</w:t>
      </w:r>
      <w:r w:rsidRPr="008B55C3">
        <w:rPr>
          <w:i/>
          <w:lang w:val="en-US"/>
        </w:rPr>
        <w:t>E</w:t>
      </w:r>
      <w:r w:rsidRPr="008B55C3">
        <w:rPr>
          <w:vertAlign w:val="subscript"/>
          <w:lang w:val="en-US"/>
        </w:rPr>
        <w:t>0</w:t>
      </w:r>
      <w:r w:rsidRPr="008B55C3">
        <w:rPr>
          <w:lang w:val="en-US"/>
        </w:rPr>
        <w:t>)</w:t>
      </w:r>
      <w:r w:rsidRPr="008B55C3">
        <w:rPr>
          <w:vertAlign w:val="superscript"/>
        </w:rPr>
        <w:sym w:font="Symbol" w:char="F067"/>
      </w:r>
      <w:r>
        <w:rPr>
          <w:lang w:val="en-US"/>
        </w:rPr>
        <w:t>,</w:t>
      </w:r>
      <w:r w:rsidRPr="008B55C3">
        <w:rPr>
          <w:lang w:val="en-US"/>
        </w:rPr>
        <w:t xml:space="preserve"> D</w:t>
      </w:r>
      <w:r w:rsidRPr="008B55C3">
        <w:rPr>
          <w:vertAlign w:val="subscript"/>
          <w:lang w:val="en-US"/>
        </w:rPr>
        <w:t>a</w:t>
      </w:r>
      <w:r w:rsidRPr="008B55C3">
        <w:rPr>
          <w:lang w:val="en-US"/>
        </w:rPr>
        <w:t xml:space="preserve"> is ambipolar diffusion coefficient and </w:t>
      </w:r>
      <w:r w:rsidRPr="008B55C3">
        <w:sym w:font="Symbol" w:char="F04C"/>
      </w:r>
      <w:r w:rsidRPr="008B55C3">
        <w:rPr>
          <w:lang w:val="en-US"/>
        </w:rPr>
        <w:t xml:space="preserve"> is transversal diffusion length. </w:t>
      </w:r>
      <w:r>
        <w:rPr>
          <w:lang w:val="en-US"/>
        </w:rPr>
        <w:t>V</w:t>
      </w:r>
      <w:r w:rsidRPr="008B55C3">
        <w:rPr>
          <w:lang w:val="en-US"/>
        </w:rPr>
        <w:t xml:space="preserve">alue </w:t>
      </w:r>
      <w:r w:rsidRPr="008B55C3">
        <w:rPr>
          <w:i/>
          <w:lang w:val="en-US"/>
        </w:rPr>
        <w:t>N</w:t>
      </w:r>
      <w:r>
        <w:rPr>
          <w:i/>
          <w:lang w:val="en-US"/>
        </w:rPr>
        <w:t> </w:t>
      </w:r>
      <w:r w:rsidRPr="008B55C3">
        <w:rPr>
          <w:lang w:val="en-US"/>
        </w:rPr>
        <w:t>=</w:t>
      </w:r>
      <w:r>
        <w:rPr>
          <w:lang w:val="en-US"/>
        </w:rPr>
        <w:t> </w:t>
      </w:r>
      <w:r w:rsidRPr="008B55C3">
        <w:rPr>
          <w:lang w:val="en-US"/>
        </w:rPr>
        <w:t xml:space="preserve">1 corresponds to geometric plasma sheath resonance [6]. </w:t>
      </w:r>
    </w:p>
    <w:p w:rsidR="007F7D0A" w:rsidRPr="00EA6E16" w:rsidRDefault="007F7D0A" w:rsidP="007F7D0A">
      <w:pPr>
        <w:pStyle w:val="Zv-bodyreport"/>
        <w:rPr>
          <w:lang w:val="en-US"/>
        </w:rPr>
      </w:pPr>
      <w:r w:rsidRPr="00EA6E16">
        <w:rPr>
          <w:lang w:val="en-US"/>
        </w:rPr>
        <w:t xml:space="preserve">This </w:t>
      </w:r>
      <w:r>
        <w:rPr>
          <w:lang w:val="en-US"/>
        </w:rPr>
        <w:t>resonance</w:t>
      </w:r>
      <w:r w:rsidRPr="00EA6E16">
        <w:rPr>
          <w:lang w:val="en-US"/>
        </w:rPr>
        <w:t xml:space="preserve"> leads to a considerable reduction in discharge voltage</w:t>
      </w:r>
      <w:r>
        <w:rPr>
          <w:lang w:val="en-US"/>
        </w:rPr>
        <w:t>, when whole discharge chamber is filled by plasma</w:t>
      </w:r>
      <w:r w:rsidRPr="00EA6E16">
        <w:rPr>
          <w:lang w:val="en-US"/>
        </w:rPr>
        <w:t>. When plasma occupies only part of discharge chamber, empty region without plasma has capacitive impedance, but its capacitance is small due to large distance between electrodes. It is shown that for large electrodes R</w:t>
      </w:r>
      <w:r w:rsidRPr="00EA6E16">
        <w:rPr>
          <w:vertAlign w:val="subscript"/>
          <w:lang w:val="en-US"/>
        </w:rPr>
        <w:t>2</w:t>
      </w:r>
      <w:r w:rsidRPr="00EA6E16">
        <w:rPr>
          <w:lang w:val="en-US"/>
        </w:rPr>
        <w:t>–R</w:t>
      </w:r>
      <w:r w:rsidRPr="00EA6E16">
        <w:rPr>
          <w:vertAlign w:val="subscript"/>
          <w:lang w:val="en-US"/>
        </w:rPr>
        <w:t>1</w:t>
      </w:r>
      <w:r w:rsidRPr="00EA6E16">
        <w:rPr>
          <w:lang w:val="en-US"/>
        </w:rPr>
        <w:t>&lt;&lt;R</w:t>
      </w:r>
      <w:r w:rsidRPr="00EA6E16">
        <w:rPr>
          <w:vertAlign w:val="subscript"/>
          <w:lang w:val="en-US"/>
        </w:rPr>
        <w:t>2</w:t>
      </w:r>
      <w:r w:rsidRPr="00EA6E16">
        <w:rPr>
          <w:lang w:val="en-US"/>
        </w:rPr>
        <w:t xml:space="preserve"> the uniform density distribution in the discharge may be unstable if the frequency of supporting HF field will be higher than the frequency of the geometric plasma-sheath resonance, and the output impedance of the RF generator is large enough. When</w:t>
      </w:r>
      <w:r>
        <w:rPr>
          <w:lang w:val="en-US"/>
        </w:rPr>
        <w:t xml:space="preserve"> the</w:t>
      </w:r>
      <w:r w:rsidRPr="00EA6E16">
        <w:rPr>
          <w:lang w:val="en-US"/>
        </w:rPr>
        <w:t xml:space="preserve"> discharge</w:t>
      </w:r>
      <w:r>
        <w:rPr>
          <w:lang w:val="en-US"/>
        </w:rPr>
        <w:t xml:space="preserve"> is</w:t>
      </w:r>
      <w:r w:rsidRPr="00EA6E16">
        <w:rPr>
          <w:lang w:val="en-US"/>
        </w:rPr>
        <w:t xml:space="preserve"> powered by a voltage source</w:t>
      </w:r>
      <w:r>
        <w:rPr>
          <w:lang w:val="en-US"/>
        </w:rPr>
        <w:t>,</w:t>
      </w:r>
      <w:r w:rsidRPr="00EA6E16">
        <w:rPr>
          <w:lang w:val="en-US"/>
        </w:rPr>
        <w:t xml:space="preserve"> electron density occupy whole chamber. If HF source has rather high internal source resistance filamentation of discharge can be observed</w:t>
      </w:r>
      <w:r>
        <w:rPr>
          <w:lang w:val="en-US"/>
        </w:rPr>
        <w:t>.</w:t>
      </w:r>
    </w:p>
    <w:p w:rsidR="007F7D0A" w:rsidRPr="00EA6E16" w:rsidRDefault="007F7D0A" w:rsidP="007F7D0A">
      <w:pPr>
        <w:pStyle w:val="Zv-bodyreport"/>
        <w:rPr>
          <w:lang w:val="en-US"/>
        </w:rPr>
      </w:pPr>
      <w:r w:rsidRPr="00EA6E16">
        <w:rPr>
          <w:lang w:val="en-US"/>
        </w:rPr>
        <w:t>According to simple analytical model, assuming that electromagnetic field distribution in any radial section of discharge is determined by plasma space distribution in same section</w:t>
      </w:r>
      <w:r>
        <w:rPr>
          <w:lang w:val="en-US"/>
        </w:rPr>
        <w:t>,</w:t>
      </w:r>
      <w:r w:rsidRPr="00EA6E16">
        <w:rPr>
          <w:lang w:val="en-US"/>
        </w:rPr>
        <w:t xml:space="preserve"> the size of filament decreases with increasing internal resistance of the source and increases with a decreasing of gas pressure due to increased intensity of transport processes. Analytical calculation is confirmed by numerical simulation.</w:t>
      </w:r>
    </w:p>
    <w:p w:rsidR="007F7D0A" w:rsidRPr="008B55C3" w:rsidRDefault="007F7D0A" w:rsidP="007F7D0A">
      <w:pPr>
        <w:pStyle w:val="Zv-TitleReferences-en"/>
        <w:rPr>
          <w:lang w:val="en-US"/>
        </w:rPr>
      </w:pPr>
      <w:r w:rsidRPr="008B55C3">
        <w:rPr>
          <w:lang w:val="en-US"/>
        </w:rPr>
        <w:t>References</w:t>
      </w:r>
    </w:p>
    <w:p w:rsidR="007F7D0A" w:rsidRPr="007F7D0A" w:rsidRDefault="007F7D0A" w:rsidP="007F7D0A">
      <w:pPr>
        <w:pStyle w:val="Zv-References-en"/>
      </w:pPr>
      <w:r w:rsidRPr="007F7D0A">
        <w:t>Mackey D., Plantié L., Turner M.M. Appl. Math. Lett. 2005, 18, 865.</w:t>
      </w:r>
    </w:p>
    <w:p w:rsidR="007F7D0A" w:rsidRPr="007F7D0A" w:rsidRDefault="007F7D0A" w:rsidP="007F7D0A">
      <w:pPr>
        <w:pStyle w:val="Zv-References-en"/>
      </w:pPr>
      <w:r w:rsidRPr="007F7D0A">
        <w:t>Schulze J, lscher D.L., and Czarnetzki U. IEEE Transaction on plasma science, 2008, 36, 1402.</w:t>
      </w:r>
    </w:p>
    <w:p w:rsidR="007F7D0A" w:rsidRPr="007F7D0A" w:rsidRDefault="007F7D0A" w:rsidP="007F7D0A">
      <w:pPr>
        <w:pStyle w:val="Zv-References-en"/>
      </w:pPr>
      <w:r w:rsidRPr="007F7D0A">
        <w:t>Двинин С.А., Довженко ВА., Солнцев Г.С. Физика плазмы, 1983, 9, 1297.</w:t>
      </w:r>
    </w:p>
    <w:p w:rsidR="007F7D0A" w:rsidRPr="007F7D0A" w:rsidRDefault="007F7D0A" w:rsidP="007F7D0A">
      <w:pPr>
        <w:pStyle w:val="Zv-References-en"/>
      </w:pPr>
      <w:r w:rsidRPr="007F7D0A">
        <w:t>R. Buckley R. Proc. Roy. Soc. A290 (1966) 186.</w:t>
      </w:r>
    </w:p>
    <w:p w:rsidR="007F7D0A" w:rsidRPr="007F7D0A" w:rsidRDefault="007F7D0A" w:rsidP="007F7D0A">
      <w:pPr>
        <w:pStyle w:val="Zv-References-en"/>
      </w:pPr>
      <w:r w:rsidRPr="007F7D0A">
        <w:t>Lieberman M.A., Lichtenberg A.J.: Principles of Plasma Discharges and Material Processing (N.-Y.: Wiley, 2005).</w:t>
      </w:r>
    </w:p>
    <w:p w:rsidR="007F7D0A" w:rsidRPr="007F7D0A" w:rsidRDefault="007F7D0A" w:rsidP="007F7D0A">
      <w:pPr>
        <w:pStyle w:val="Zv-References-en"/>
      </w:pPr>
      <w:r w:rsidRPr="007F7D0A">
        <w:t>Taillet J. American Journal of Physics, 1969, 37, 423.</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83" w:rsidRDefault="00827683">
      <w:r>
        <w:separator/>
      </w:r>
    </w:p>
  </w:endnote>
  <w:endnote w:type="continuationSeparator" w:id="0">
    <w:p w:rsidR="00827683" w:rsidRDefault="00827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23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23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F7D0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83" w:rsidRDefault="00827683">
      <w:r>
        <w:separator/>
      </w:r>
    </w:p>
  </w:footnote>
  <w:footnote w:type="continuationSeparator" w:id="0">
    <w:p w:rsidR="00827683" w:rsidRDefault="00827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57231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4B0E8C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4B0E8C6">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1502551E">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B7699B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827683"/>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231E"/>
    <w:rsid w:val="00573BAD"/>
    <w:rsid w:val="0058676C"/>
    <w:rsid w:val="005F764D"/>
    <w:rsid w:val="00654A7B"/>
    <w:rsid w:val="00732A2E"/>
    <w:rsid w:val="007B6378"/>
    <w:rsid w:val="007E06CE"/>
    <w:rsid w:val="007F7D0A"/>
    <w:rsid w:val="00802D35"/>
    <w:rsid w:val="00827683"/>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D0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rsid w:val="007F7D0A"/>
    <w:rPr>
      <w:color w:val="0000FF"/>
      <w:u w:val="single"/>
    </w:rPr>
  </w:style>
  <w:style w:type="paragraph" w:customStyle="1" w:styleId="BodyL">
    <w:name w:val="BodyL."/>
    <w:basedOn w:val="a"/>
    <w:rsid w:val="007F7D0A"/>
    <w:pPr>
      <w:spacing w:line="360" w:lineRule="auto"/>
      <w:ind w:firstLine="567"/>
      <w:jc w:val="both"/>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3</TotalTime>
  <Pages>1</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Сергей Сатунин</cp:lastModifiedBy>
  <cp:revision>1</cp:revision>
  <cp:lastPrinted>1601-01-01T00:00:00Z</cp:lastPrinted>
  <dcterms:created xsi:type="dcterms:W3CDTF">2016-01-05T19:20:00Z</dcterms:created>
  <dcterms:modified xsi:type="dcterms:W3CDTF">2016-01-05T19:23:00Z</dcterms:modified>
</cp:coreProperties>
</file>