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F1" w:rsidRDefault="00D428F1" w:rsidP="00E56C2C">
      <w:pPr>
        <w:pStyle w:val="Zv-Titlereport"/>
        <w:spacing w:line="216" w:lineRule="auto"/>
      </w:pPr>
      <w:bookmarkStart w:id="0" w:name="OLE_LINK12"/>
      <w:bookmarkStart w:id="1" w:name="OLE_LINK13"/>
      <w:r>
        <w:t>Подавление коротковолновой турбулентности при спонтанном транспортном переходе в плазме стелларатора Л-2М при ЭЦ нагреве</w:t>
      </w:r>
      <w:bookmarkEnd w:id="0"/>
      <w:bookmarkEnd w:id="1"/>
    </w:p>
    <w:p w:rsidR="00D428F1" w:rsidRDefault="00D428F1" w:rsidP="00E56C2C">
      <w:pPr>
        <w:pStyle w:val="Zv-Author"/>
        <w:spacing w:line="216" w:lineRule="auto"/>
      </w:pPr>
      <w:r>
        <w:t xml:space="preserve">Г.М. Батанов, В.Д. Борзосеков, </w:t>
      </w:r>
      <w:r w:rsidRPr="0070051E">
        <w:rPr>
          <w:u w:val="single"/>
        </w:rPr>
        <w:t>Д.Г. Васильков</w:t>
      </w:r>
      <w:r>
        <w:t>, И.Ю. Вафин, С.Е. Гребенщиков, Е.М. Кончеков, А.А. Летунов, А.И. Мещеряков, К.А. Сарксян, М.А. Терещенко, Н.К. Харчев, Ю.В. Хольнов</w:t>
      </w:r>
    </w:p>
    <w:p w:rsidR="00D428F1" w:rsidRPr="0028091A" w:rsidRDefault="00D428F1" w:rsidP="00E56C2C">
      <w:pPr>
        <w:pStyle w:val="Zv-Organization"/>
        <w:spacing w:line="216" w:lineRule="auto"/>
      </w:pPr>
      <w:r>
        <w:t xml:space="preserve">Институт общей физики им. А.М. Прохорова РАН, </w:t>
      </w:r>
      <w:r w:rsidR="00E56C2C">
        <w:t xml:space="preserve">г. </w:t>
      </w:r>
      <w:r>
        <w:t>Москва, Россия,</w:t>
      </w:r>
      <w:r w:rsidR="0028091A" w:rsidRPr="0028091A">
        <w:t xml:space="preserve"> </w:t>
      </w:r>
      <w:hyperlink r:id="rId7" w:history="1">
        <w:r w:rsidR="0028091A" w:rsidRPr="00D02CAA">
          <w:rPr>
            <w:rStyle w:val="aa"/>
            <w:lang w:val="en-US"/>
          </w:rPr>
          <w:t>vasilkov</w:t>
        </w:r>
        <w:r w:rsidR="0028091A" w:rsidRPr="00D02CAA">
          <w:rPr>
            <w:rStyle w:val="aa"/>
          </w:rPr>
          <w:t>@</w:t>
        </w:r>
        <w:r w:rsidR="0028091A" w:rsidRPr="00D02CAA">
          <w:rPr>
            <w:rStyle w:val="aa"/>
            <w:lang w:val="en-US"/>
          </w:rPr>
          <w:t>fpl</w:t>
        </w:r>
        <w:r w:rsidR="0028091A" w:rsidRPr="00D02CAA">
          <w:rPr>
            <w:rStyle w:val="aa"/>
          </w:rPr>
          <w:t>.</w:t>
        </w:r>
        <w:r w:rsidR="0028091A" w:rsidRPr="00D02CAA">
          <w:rPr>
            <w:rStyle w:val="aa"/>
            <w:lang w:val="en-US"/>
          </w:rPr>
          <w:t>gpi</w:t>
        </w:r>
        <w:r w:rsidR="0028091A" w:rsidRPr="00D02CAA">
          <w:rPr>
            <w:rStyle w:val="aa"/>
          </w:rPr>
          <w:t>.</w:t>
        </w:r>
        <w:r w:rsidR="0028091A" w:rsidRPr="00D02CAA">
          <w:rPr>
            <w:rStyle w:val="aa"/>
            <w:lang w:val="en-US"/>
          </w:rPr>
          <w:t>ru</w:t>
        </w:r>
      </w:hyperlink>
    </w:p>
    <w:p w:rsidR="00D428F1" w:rsidRPr="00C30F6D" w:rsidRDefault="00D428F1" w:rsidP="00E56C2C">
      <w:pPr>
        <w:pStyle w:val="Zv-bodyreport"/>
        <w:spacing w:line="216" w:lineRule="auto"/>
      </w:pPr>
      <w:r w:rsidRPr="00C30F6D">
        <w:t xml:space="preserve">Ранее при спонтанном транспортном переходе в плазме стеллараторов наблюдалось подавление флуктуаций среднего масштаба 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</m:t>
        </m:r>
      </m:oMath>
      <w:r w:rsidRPr="00C30F6D">
        <w:t xml:space="preserve"> (где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</m:oMath>
      <w:r w:rsidRPr="00C30F6D">
        <w:t xml:space="preserve"> — поперечный волновой вектор флуктуаций,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C30F6D">
        <w:t xml:space="preserve"> — гирорадиус ионов, определенной при температуре электронов </w:t>
      </w:r>
      <w:r w:rsidRPr="00C30F6D">
        <w:rPr>
          <w:i/>
          <w:lang w:val="en-US"/>
        </w:rPr>
        <w:t>T</w:t>
      </w:r>
      <w:r w:rsidRPr="00C30F6D">
        <w:rPr>
          <w:i/>
          <w:vertAlign w:val="subscript"/>
          <w:lang w:val="en-US"/>
        </w:rPr>
        <w:t>e</w:t>
      </w:r>
      <w:r w:rsidR="00E56C2C">
        <w:t>) </w:t>
      </w:r>
      <w:r w:rsidRPr="00C30F6D">
        <w:t>[1</w:t>
      </w:r>
      <w:r w:rsidR="00E56C2C">
        <w:t xml:space="preserve"> – </w:t>
      </w:r>
      <w:r w:rsidRPr="00C30F6D">
        <w:t>5].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Однако до сих</w:t>
      </w:r>
      <w:bookmarkStart w:id="2" w:name="_GoBack"/>
      <w:bookmarkEnd w:id="2"/>
      <w:r w:rsidRPr="00C30F6D">
        <w:t xml:space="preserve"> пор не было зарегистрировано подавления коротковолновой микротурбулентности, с развитием которой связывается аномальный перенос [6, 7].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Повышение удельной мощности ЭЦ нагрева до 3 МВт/м</w:t>
      </w:r>
      <w:r w:rsidRPr="00C30F6D">
        <w:rPr>
          <w:vertAlign w:val="superscript"/>
        </w:rPr>
        <w:t>3</w:t>
      </w:r>
      <w:r w:rsidRPr="00C30F6D">
        <w:t xml:space="preserve"> позволило наблюдать на стеллараторе Л-2М с</w:t>
      </w:r>
      <w:r w:rsidRPr="0028091A">
        <w:t>п</w:t>
      </w:r>
      <w:r w:rsidRPr="00C30F6D">
        <w:t>онтанный транспортный переход во время нецентрального ЭЦ нагрева.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Плотность плазмы составляла ~2</w:t>
      </w:r>
      <w:r w:rsidR="00E56C2C" w:rsidRPr="0028091A">
        <w:t>,</w:t>
      </w:r>
      <w:r w:rsidRPr="00C30F6D">
        <w:t>5∙10</w:t>
      </w:r>
      <w:r w:rsidRPr="00C30F6D">
        <w:rPr>
          <w:vertAlign w:val="superscript"/>
        </w:rPr>
        <w:t>13</w:t>
      </w:r>
      <w:r w:rsidRPr="00C30F6D">
        <w:t xml:space="preserve"> см</w:t>
      </w:r>
      <w:r w:rsidRPr="00C30F6D">
        <w:rPr>
          <w:vertAlign w:val="superscript"/>
        </w:rPr>
        <w:t>–3</w:t>
      </w:r>
      <w:r w:rsidRPr="00C30F6D">
        <w:t>, температура электронов в области ЭЦ нагрева составляла 0</w:t>
      </w:r>
      <w:r w:rsidR="00E56C2C" w:rsidRPr="0028091A">
        <w:t>,</w:t>
      </w:r>
      <w:r w:rsidRPr="00C30F6D">
        <w:t>4</w:t>
      </w:r>
      <w:r w:rsidR="00E56C2C">
        <w:rPr>
          <w:lang w:val="en-US"/>
        </w:rPr>
        <w:t> </w:t>
      </w:r>
      <w:r w:rsidR="00E56C2C" w:rsidRPr="0028091A">
        <w:t>–</w:t>
      </w:r>
      <w:r w:rsidR="00E56C2C">
        <w:rPr>
          <w:lang w:val="en-US"/>
        </w:rPr>
        <w:t> </w:t>
      </w:r>
      <w:r w:rsidRPr="00C30F6D">
        <w:t>0</w:t>
      </w:r>
      <w:r w:rsidR="00E56C2C" w:rsidRPr="0028091A">
        <w:t>,</w:t>
      </w:r>
      <w:r w:rsidRPr="00C30F6D">
        <w:t>5 кэВ. Радиальный профиль плотности плоский, а температуры электронов и интенсивности мягкого рентгеновского излучения с максимумом в области ЭЦ нагрева. Энергия плазмы измерялась по диамагнитному отклику — производной сигнала магнитных катушек, измеряющих изменение магнитного потока в плазменном шнуре. Коротковолновые флуктуации плотности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r>
          <w:rPr>
            <w:rFonts w:ascii="Cambria Math" w:hAnsi="Cambria Math"/>
          </w:rPr>
          <m:t>=30</m:t>
        </m:r>
      </m:oMath>
      <w:r w:rsidRPr="00C30F6D">
        <w:t>см</w:t>
      </w:r>
      <w:r w:rsidRPr="00C30F6D">
        <w:rPr>
          <w:vertAlign w:val="superscript"/>
        </w:rPr>
        <w:t>–1</w:t>
      </w:r>
      <w:r w:rsidRPr="00C30F6D">
        <w:t>) измерялись с помощью обратного рассеяния излучения одного из гиротронов, а длинноволновые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r>
          <w:rPr>
            <w:rFonts w:ascii="Cambria Math" w:hAnsi="Cambria Math"/>
          </w:rPr>
          <m:t>=1</m:t>
        </m:r>
      </m:oMath>
      <w:r w:rsidRPr="00C30F6D">
        <w:t>см</w:t>
      </w:r>
      <w:r w:rsidRPr="00C30F6D">
        <w:rPr>
          <w:vertAlign w:val="superscript"/>
        </w:rPr>
        <w:t>–1</w:t>
      </w:r>
      <w:r w:rsidRPr="00C30F6D">
        <w:t>) — методом малоуглового рассеяния того же гиротрона.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Транспортный переход, т.е. изменение в балансе поглощенной мощности и мощности потерь, обнаруживается по всплеску производной диамагнитного сигнала во время квазистационарной фазы плазменного шнура. Длительность перехода к новому квазистационарному состоянию с повышением энергии плазмы на 14% составляла ~2 мс. Началу перехода соответствует рост температуры электронов в области ЭЦ нагрева и рост интенсивности мягкого рентгеновского излучения в центральной области плазменного шнура.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Уровень коротковолновой турбулентности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=6</m:t>
        </m:r>
      </m:oMath>
      <w:r w:rsidRPr="00C30F6D">
        <w:t>), определенный как квадрат флуктуаций плотности, усредненной по 100 мкс и по длине области рассеяния от точки входа микроволнового пучка в плазменный шнур до области гирорезонанса, демонстрирует резкое (0</w:t>
      </w:r>
      <w:r w:rsidR="00E56C2C" w:rsidRPr="0028091A">
        <w:t>,</w:t>
      </w:r>
      <w:r w:rsidRPr="00C30F6D">
        <w:t>5 мс) трех-, четырехкратное уменьшение, в то время как уровень длинноволновых флуктуаций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i/>
              </w:rPr>
              <w:sym w:font="Symbol" w:char="F05E"/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=0.2</m:t>
        </m:r>
      </m:oMath>
      <w:r w:rsidRPr="00C30F6D">
        <w:t>) остается неизменным.</w:t>
      </w:r>
    </w:p>
    <w:p w:rsidR="00D428F1" w:rsidRPr="00C30F6D" w:rsidRDefault="00D428F1" w:rsidP="00E56C2C">
      <w:pPr>
        <w:pStyle w:val="Zv-bodyreport"/>
        <w:spacing w:line="216" w:lineRule="auto"/>
      </w:pPr>
      <w:r w:rsidRPr="00C30F6D">
        <w:t>Можно предположить, что спонтанный транспортный переход, выразившийся в росте температуры и энергии плазменного шнура, вызван уменьшением уровня коротковолновой турбулентности.</w:t>
      </w:r>
    </w:p>
    <w:p w:rsidR="00D428F1" w:rsidRDefault="00D428F1" w:rsidP="00E56C2C">
      <w:pPr>
        <w:pStyle w:val="Zv-bodyreport"/>
        <w:spacing w:line="216" w:lineRule="auto"/>
      </w:pPr>
      <w:r w:rsidRPr="00C30F6D">
        <w:t>Работа поддержана проектом РФФИ 14-02-00589.</w:t>
      </w:r>
    </w:p>
    <w:p w:rsidR="00D428F1" w:rsidRPr="00E56C2C" w:rsidRDefault="00D428F1" w:rsidP="00E56C2C">
      <w:pPr>
        <w:pStyle w:val="Zv-TitleReferences-ru"/>
        <w:spacing w:line="216" w:lineRule="auto"/>
        <w:rPr>
          <w:lang w:val="en-US"/>
        </w:rPr>
      </w:pPr>
      <w:r>
        <w:t>Литература</w:t>
      </w:r>
    </w:p>
    <w:p w:rsidR="00D428F1" w:rsidRPr="00211F66" w:rsidRDefault="00D428F1" w:rsidP="00E56C2C">
      <w:pPr>
        <w:pStyle w:val="Zv-References-ru"/>
        <w:spacing w:line="216" w:lineRule="auto"/>
        <w:rPr>
          <w:lang w:val="en-US"/>
        </w:rPr>
      </w:pPr>
      <w:smartTag w:uri="urn:schemas-microsoft-com:office:smarttags" w:element="City">
        <w:smartTag w:uri="urn:schemas-microsoft-com:office:smarttags" w:element="place">
          <w:r w:rsidRPr="00211F66">
            <w:rPr>
              <w:i/>
              <w:lang w:val="en-US"/>
            </w:rPr>
            <w:t>Fujisawa</w:t>
          </w:r>
        </w:smartTag>
      </w:smartTag>
      <w:r w:rsidRPr="00211F66">
        <w:rPr>
          <w:i/>
          <w:lang w:val="en-US"/>
        </w:rPr>
        <w:t xml:space="preserve"> A., Iguchi H., Minami T. et al.</w:t>
      </w:r>
      <w:r>
        <w:rPr>
          <w:lang w:val="en-US"/>
        </w:rPr>
        <w:t xml:space="preserve"> //</w:t>
      </w:r>
      <w:r w:rsidRPr="00211F66">
        <w:rPr>
          <w:lang w:val="en-US"/>
        </w:rPr>
        <w:t xml:space="preserve"> Phys.Rev.Lett. 1999</w:t>
      </w:r>
      <w:r>
        <w:rPr>
          <w:lang w:val="en-US"/>
        </w:rPr>
        <w:t xml:space="preserve">. V. </w:t>
      </w:r>
      <w:r w:rsidRPr="00211F66">
        <w:rPr>
          <w:lang w:val="en-US"/>
        </w:rPr>
        <w:t>88</w:t>
      </w:r>
      <w:r>
        <w:rPr>
          <w:lang w:val="en-US"/>
        </w:rPr>
        <w:t xml:space="preserve">. N. </w:t>
      </w:r>
      <w:r w:rsidRPr="00211F66">
        <w:rPr>
          <w:lang w:val="en-US"/>
        </w:rPr>
        <w:t>13</w:t>
      </w:r>
      <w:r>
        <w:rPr>
          <w:lang w:val="en-US"/>
        </w:rPr>
        <w:t>. P.</w:t>
      </w:r>
      <w:r w:rsidRPr="00211F66">
        <w:rPr>
          <w:lang w:val="en-US"/>
        </w:rPr>
        <w:t xml:space="preserve"> 2669.</w:t>
      </w:r>
    </w:p>
    <w:p w:rsidR="00D428F1" w:rsidRPr="00211F66" w:rsidRDefault="00D428F1" w:rsidP="00E56C2C">
      <w:pPr>
        <w:pStyle w:val="Zv-References-ru"/>
        <w:spacing w:line="216" w:lineRule="auto"/>
        <w:rPr>
          <w:lang w:val="en-US"/>
        </w:rPr>
      </w:pPr>
      <w:smartTag w:uri="urn:schemas-microsoft-com:office:smarttags" w:element="City">
        <w:r w:rsidRPr="00831313">
          <w:rPr>
            <w:i/>
            <w:spacing w:val="-2"/>
            <w:lang w:val="en-US"/>
          </w:rPr>
          <w:t>Fujisawa</w:t>
        </w:r>
      </w:smartTag>
      <w:r w:rsidRPr="00831313">
        <w:rPr>
          <w:i/>
          <w:spacing w:val="-2"/>
          <w:lang w:val="en-US"/>
        </w:rPr>
        <w:t xml:space="preserve"> A., Itoh K., </w:t>
      </w:r>
      <w:smartTag w:uri="urn:schemas-microsoft-com:office:smarttags" w:element="City">
        <w:smartTag w:uri="urn:schemas-microsoft-com:office:smarttags" w:element="place">
          <w:r w:rsidRPr="00831313">
            <w:rPr>
              <w:i/>
              <w:spacing w:val="-2"/>
              <w:lang w:val="en-US"/>
            </w:rPr>
            <w:t>Shimizu</w:t>
          </w:r>
        </w:smartTag>
      </w:smartTag>
      <w:r w:rsidRPr="00831313">
        <w:rPr>
          <w:i/>
          <w:spacing w:val="-2"/>
          <w:lang w:val="en-US"/>
        </w:rPr>
        <w:t xml:space="preserve"> A. et al.</w:t>
      </w:r>
      <w:r w:rsidRPr="00831313">
        <w:rPr>
          <w:spacing w:val="-2"/>
          <w:lang w:val="en-US"/>
        </w:rPr>
        <w:t xml:space="preserve"> // Plasma Phys. Control Fusion. 2006. V. 48. N. 4. P. S205.</w:t>
      </w:r>
    </w:p>
    <w:p w:rsidR="00D428F1" w:rsidRPr="00211F66" w:rsidRDefault="00D428F1" w:rsidP="00E56C2C">
      <w:pPr>
        <w:pStyle w:val="Zv-References-ru"/>
        <w:spacing w:line="216" w:lineRule="auto"/>
        <w:rPr>
          <w:lang w:val="en-US"/>
        </w:rPr>
      </w:pPr>
      <w:r w:rsidRPr="00693365">
        <w:rPr>
          <w:i/>
          <w:spacing w:val="-2"/>
          <w:lang w:val="en-US"/>
        </w:rPr>
        <w:t>Estrada T., Happel T., Eliseev L. et al.</w:t>
      </w:r>
      <w:r w:rsidRPr="00693365">
        <w:rPr>
          <w:spacing w:val="-2"/>
          <w:lang w:val="en-US"/>
        </w:rPr>
        <w:t xml:space="preserve"> // Plasma Phys. Control Fusion. 2009. V. 51, P. P124015.</w:t>
      </w:r>
    </w:p>
    <w:p w:rsidR="00D428F1" w:rsidRPr="00211F66" w:rsidRDefault="00D428F1" w:rsidP="00E56C2C">
      <w:pPr>
        <w:pStyle w:val="Zv-References-ru"/>
        <w:spacing w:line="216" w:lineRule="auto"/>
        <w:rPr>
          <w:lang w:val="en-US"/>
        </w:rPr>
      </w:pPr>
      <w:r w:rsidRPr="00C22BA5">
        <w:rPr>
          <w:i/>
          <w:lang w:val="en-US"/>
        </w:rPr>
        <w:t xml:space="preserve">Melnikov A., Krupnik L., </w:t>
      </w:r>
      <w:smartTag w:uri="urn:schemas-microsoft-com:office:smarttags" w:element="State">
        <w:smartTag w:uri="urn:schemas-microsoft-com:office:smarttags" w:element="place">
          <w:r w:rsidRPr="00C22BA5">
            <w:rPr>
              <w:i/>
              <w:lang w:val="en-US"/>
            </w:rPr>
            <w:t>Hidalgo</w:t>
          </w:r>
        </w:smartTag>
      </w:smartTag>
      <w:r w:rsidRPr="00C22BA5">
        <w:rPr>
          <w:i/>
          <w:lang w:val="en-US"/>
        </w:rPr>
        <w:t xml:space="preserve"> C. et al.</w:t>
      </w:r>
      <w:r>
        <w:rPr>
          <w:lang w:val="en-US"/>
        </w:rPr>
        <w:t xml:space="preserve"> //</w:t>
      </w:r>
      <w:r w:rsidRPr="00211F66">
        <w:rPr>
          <w:lang w:val="en-US"/>
        </w:rPr>
        <w:t xml:space="preserve"> 36-th EPS Conf. on Plasma Physics. </w:t>
      </w:r>
      <w:r>
        <w:rPr>
          <w:lang w:val="en-US"/>
        </w:rPr>
        <w:t xml:space="preserve">2009.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Sofia</w:t>
          </w:r>
        </w:smartTag>
      </w:smartTag>
      <w:r>
        <w:rPr>
          <w:lang w:val="en-US"/>
        </w:rPr>
        <w:t xml:space="preserve">. ECA. </w:t>
      </w:r>
      <w:r w:rsidRPr="00211F66">
        <w:rPr>
          <w:lang w:val="en-US"/>
        </w:rPr>
        <w:t>V</w:t>
      </w:r>
      <w:r>
        <w:rPr>
          <w:lang w:val="en-US"/>
        </w:rPr>
        <w:t>33E, Rep. 4-186</w:t>
      </w:r>
      <w:r w:rsidRPr="00211F66">
        <w:rPr>
          <w:lang w:val="en-US"/>
        </w:rPr>
        <w:t>.</w:t>
      </w:r>
    </w:p>
    <w:p w:rsidR="00D428F1" w:rsidRPr="00211F66" w:rsidRDefault="00D428F1" w:rsidP="00E56C2C">
      <w:pPr>
        <w:pStyle w:val="Zv-References-ru"/>
        <w:spacing w:line="216" w:lineRule="auto"/>
        <w:rPr>
          <w:lang w:val="en-US"/>
        </w:rPr>
      </w:pPr>
      <w:r w:rsidRPr="00C22BA5">
        <w:rPr>
          <w:i/>
          <w:lang w:val="en-US"/>
        </w:rPr>
        <w:t xml:space="preserve">Estrada T., </w:t>
      </w:r>
      <w:smartTag w:uri="urn:schemas-microsoft-com:office:smarttags" w:element="State">
        <w:smartTag w:uri="urn:schemas-microsoft-com:office:smarttags" w:element="place">
          <w:r w:rsidRPr="00C22BA5">
            <w:rPr>
              <w:i/>
              <w:lang w:val="en-US"/>
            </w:rPr>
            <w:t>Hidalgo</w:t>
          </w:r>
        </w:smartTag>
      </w:smartTag>
      <w:r w:rsidRPr="00C22BA5">
        <w:rPr>
          <w:i/>
          <w:lang w:val="en-US"/>
        </w:rPr>
        <w:t xml:space="preserve"> C., Happel T. et al.</w:t>
      </w:r>
      <w:r>
        <w:rPr>
          <w:i/>
          <w:lang w:val="en-US"/>
        </w:rPr>
        <w:t xml:space="preserve"> </w:t>
      </w:r>
      <w:r>
        <w:rPr>
          <w:lang w:val="en-US"/>
        </w:rPr>
        <w:t>//</w:t>
      </w:r>
      <w:r w:rsidRPr="00211F66">
        <w:rPr>
          <w:lang w:val="en-US"/>
        </w:rPr>
        <w:t xml:space="preserve"> Nucl. Fusion</w:t>
      </w:r>
      <w:r>
        <w:rPr>
          <w:lang w:val="en-US"/>
        </w:rPr>
        <w:t>. 2011. V.</w:t>
      </w:r>
      <w:r w:rsidRPr="00211F66">
        <w:rPr>
          <w:lang w:val="en-US"/>
        </w:rPr>
        <w:t xml:space="preserve"> 51</w:t>
      </w:r>
      <w:r>
        <w:rPr>
          <w:lang w:val="en-US"/>
        </w:rPr>
        <w:t xml:space="preserve">. P. </w:t>
      </w:r>
      <w:r w:rsidRPr="00211F66">
        <w:rPr>
          <w:lang w:val="en-US"/>
        </w:rPr>
        <w:t>P032001.</w:t>
      </w:r>
    </w:p>
    <w:p w:rsidR="00D428F1" w:rsidRPr="00552B58" w:rsidRDefault="00D428F1" w:rsidP="00E56C2C">
      <w:pPr>
        <w:pStyle w:val="Zv-References-ru"/>
        <w:spacing w:line="216" w:lineRule="auto"/>
      </w:pPr>
      <w:r w:rsidRPr="00552B58">
        <w:rPr>
          <w:i/>
          <w:spacing w:val="-2"/>
          <w:lang w:val="en-US"/>
        </w:rPr>
        <w:t>Rodes T.L., Peebles W.A., Van Zeeland M.A. et al.</w:t>
      </w:r>
      <w:r w:rsidRPr="00552B58">
        <w:rPr>
          <w:spacing w:val="-2"/>
          <w:lang w:val="en-US"/>
        </w:rPr>
        <w:t xml:space="preserve"> // Physics of Plasmas. </w:t>
      </w:r>
      <w:r w:rsidRPr="00552B58">
        <w:rPr>
          <w:spacing w:val="-2"/>
        </w:rPr>
        <w:t xml:space="preserve">2007. </w:t>
      </w:r>
      <w:r w:rsidRPr="00552B58">
        <w:rPr>
          <w:spacing w:val="-2"/>
          <w:lang w:val="en-US"/>
        </w:rPr>
        <w:t>V</w:t>
      </w:r>
      <w:r w:rsidRPr="00552B58">
        <w:rPr>
          <w:spacing w:val="-2"/>
        </w:rPr>
        <w:t xml:space="preserve">. 14. </w:t>
      </w:r>
      <w:r w:rsidRPr="00552B58">
        <w:rPr>
          <w:spacing w:val="-2"/>
          <w:lang w:val="en-US"/>
        </w:rPr>
        <w:t>P</w:t>
      </w:r>
      <w:r w:rsidRPr="00552B58">
        <w:rPr>
          <w:spacing w:val="-2"/>
        </w:rPr>
        <w:t>. 056117</w:t>
      </w:r>
      <w:r w:rsidRPr="00552B58">
        <w:t>.</w:t>
      </w:r>
    </w:p>
    <w:p w:rsidR="00D428F1" w:rsidRPr="00E56C2C" w:rsidRDefault="00D428F1" w:rsidP="00E56C2C">
      <w:pPr>
        <w:pStyle w:val="Zv-References-ru"/>
        <w:spacing w:line="216" w:lineRule="auto"/>
        <w:rPr>
          <w:i/>
          <w:lang w:val="en-US"/>
        </w:rPr>
      </w:pPr>
      <w:r w:rsidRPr="0028091A">
        <w:rPr>
          <w:i/>
        </w:rPr>
        <w:t xml:space="preserve">Батанов Г.М., Борзосеков В.Д., Коврижных Л.М. и др. // Физика плазмы. </w:t>
      </w:r>
      <w:r w:rsidRPr="00E56C2C">
        <w:rPr>
          <w:i/>
          <w:lang w:val="en-US"/>
        </w:rPr>
        <w:t>2013. Т. 39. С. 511.</w:t>
      </w:r>
    </w:p>
    <w:p w:rsidR="00D428F1" w:rsidRPr="004F0263" w:rsidRDefault="00D428F1" w:rsidP="00541BE0">
      <w:pPr>
        <w:pStyle w:val="a8"/>
      </w:pPr>
    </w:p>
    <w:sectPr w:rsidR="00D428F1" w:rsidRPr="004F026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F1" w:rsidRDefault="00D428F1">
      <w:r>
        <w:separator/>
      </w:r>
    </w:p>
  </w:endnote>
  <w:endnote w:type="continuationSeparator" w:id="0">
    <w:p w:rsidR="00D428F1" w:rsidRDefault="00D42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F1" w:rsidRDefault="00D428F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28F1" w:rsidRDefault="00D428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F1" w:rsidRDefault="00D428F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1BE0">
      <w:rPr>
        <w:rStyle w:val="a7"/>
        <w:noProof/>
      </w:rPr>
      <w:t>1</w:t>
    </w:r>
    <w:r>
      <w:rPr>
        <w:rStyle w:val="a7"/>
      </w:rPr>
      <w:fldChar w:fldCharType="end"/>
    </w:r>
  </w:p>
  <w:p w:rsidR="00D428F1" w:rsidRDefault="00D428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F1" w:rsidRDefault="00D428F1">
      <w:r>
        <w:separator/>
      </w:r>
    </w:p>
  </w:footnote>
  <w:footnote w:type="continuationSeparator" w:id="0">
    <w:p w:rsidR="00D428F1" w:rsidRDefault="00D42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F1" w:rsidRDefault="00D428F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C0229">
      <w:rPr>
        <w:sz w:val="20"/>
      </w:rPr>
      <w:t>8</w:t>
    </w:r>
    <w:r>
      <w:rPr>
        <w:sz w:val="20"/>
      </w:rPr>
      <w:t xml:space="preserve"> – 1</w:t>
    </w:r>
    <w:r w:rsidRPr="001C022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D428F1" w:rsidRDefault="00541BE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44874"/>
    <w:rsid w:val="00154153"/>
    <w:rsid w:val="0018144F"/>
    <w:rsid w:val="00193C34"/>
    <w:rsid w:val="001A713C"/>
    <w:rsid w:val="001C0229"/>
    <w:rsid w:val="001C0CCB"/>
    <w:rsid w:val="001D6BA7"/>
    <w:rsid w:val="00211F66"/>
    <w:rsid w:val="00220629"/>
    <w:rsid w:val="0022454C"/>
    <w:rsid w:val="00247225"/>
    <w:rsid w:val="00263069"/>
    <w:rsid w:val="002768D2"/>
    <w:rsid w:val="0028091A"/>
    <w:rsid w:val="00282F41"/>
    <w:rsid w:val="002A3070"/>
    <w:rsid w:val="0035144F"/>
    <w:rsid w:val="003800F3"/>
    <w:rsid w:val="00390760"/>
    <w:rsid w:val="00392370"/>
    <w:rsid w:val="003B5B93"/>
    <w:rsid w:val="003C746E"/>
    <w:rsid w:val="00401388"/>
    <w:rsid w:val="00446025"/>
    <w:rsid w:val="004A77D1"/>
    <w:rsid w:val="004B1D58"/>
    <w:rsid w:val="004B72AA"/>
    <w:rsid w:val="004C2B3D"/>
    <w:rsid w:val="004F0263"/>
    <w:rsid w:val="004F4E29"/>
    <w:rsid w:val="00520A91"/>
    <w:rsid w:val="00541BE0"/>
    <w:rsid w:val="00552B58"/>
    <w:rsid w:val="00567C6F"/>
    <w:rsid w:val="0058676C"/>
    <w:rsid w:val="005A357F"/>
    <w:rsid w:val="005F02BE"/>
    <w:rsid w:val="00654A7B"/>
    <w:rsid w:val="00693365"/>
    <w:rsid w:val="0070051E"/>
    <w:rsid w:val="00732A2E"/>
    <w:rsid w:val="00761728"/>
    <w:rsid w:val="007B200A"/>
    <w:rsid w:val="007B6378"/>
    <w:rsid w:val="00802D35"/>
    <w:rsid w:val="00831313"/>
    <w:rsid w:val="009373CF"/>
    <w:rsid w:val="00A446D4"/>
    <w:rsid w:val="00A972A8"/>
    <w:rsid w:val="00B622ED"/>
    <w:rsid w:val="00B9584E"/>
    <w:rsid w:val="00C103CD"/>
    <w:rsid w:val="00C22BA5"/>
    <w:rsid w:val="00C232A0"/>
    <w:rsid w:val="00C30F6D"/>
    <w:rsid w:val="00C418CC"/>
    <w:rsid w:val="00D428F1"/>
    <w:rsid w:val="00D47F19"/>
    <w:rsid w:val="00D61243"/>
    <w:rsid w:val="00D673D3"/>
    <w:rsid w:val="00E1331D"/>
    <w:rsid w:val="00E56C2C"/>
    <w:rsid w:val="00E7021A"/>
    <w:rsid w:val="00E87733"/>
    <w:rsid w:val="00EB21DD"/>
    <w:rsid w:val="00F74399"/>
    <w:rsid w:val="00F95123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unhideWhenUsed/>
    <w:rsid w:val="002809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ilk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457</Words>
  <Characters>2957</Characters>
  <Application>Microsoft Office Word</Application>
  <DocSecurity>0</DocSecurity>
  <Lines>24</Lines>
  <Paragraphs>6</Paragraphs>
  <ScaleCrop>false</ScaleCrop>
  <Company>k13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Подавление коротковолновой турбулентности при спонтанном транспортном переходе в плазме стелларатора Л-2М при ЭЦ нагреве</dc:title>
  <dc:subject/>
  <dc:creator>Сергей Сатунин</dc:creator>
  <cp:keywords/>
  <dc:description/>
  <cp:lastModifiedBy>Сергей Сатунин</cp:lastModifiedBy>
  <cp:revision>3</cp:revision>
  <dcterms:created xsi:type="dcterms:W3CDTF">2016-01-17T13:42:00Z</dcterms:created>
  <dcterms:modified xsi:type="dcterms:W3CDTF">2016-01-17T13:43:00Z</dcterms:modified>
</cp:coreProperties>
</file>