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B" w:rsidRPr="0060530F" w:rsidRDefault="003C0818" w:rsidP="00A179D4">
      <w:pPr>
        <w:pStyle w:val="Zv-Titlereport"/>
        <w:spacing w:after="80"/>
        <w:ind w:left="567" w:right="567"/>
        <w:rPr>
          <w:szCs w:val="24"/>
        </w:rPr>
      </w:pPr>
      <w:bookmarkStart w:id="0" w:name="OLE_LINK5"/>
      <w:bookmarkStart w:id="1" w:name="OLE_LINK6"/>
      <w:bookmarkStart w:id="2" w:name="OLE_LINK7"/>
      <w:r>
        <w:rPr>
          <w:szCs w:val="24"/>
        </w:rPr>
        <w:t xml:space="preserve">Исследование </w:t>
      </w:r>
      <w:r w:rsidR="00822517">
        <w:rPr>
          <w:szCs w:val="24"/>
        </w:rPr>
        <w:t>перифер</w:t>
      </w:r>
      <w:r w:rsidR="00E4020F">
        <w:rPr>
          <w:szCs w:val="24"/>
        </w:rPr>
        <w:t>и</w:t>
      </w:r>
      <w:r w:rsidR="00822517">
        <w:rPr>
          <w:szCs w:val="24"/>
        </w:rPr>
        <w:t>йной плазмы</w:t>
      </w:r>
      <w:r>
        <w:rPr>
          <w:szCs w:val="24"/>
        </w:rPr>
        <w:t xml:space="preserve"> токамака глобус-м </w:t>
      </w:r>
      <w:r w:rsidR="008459DA">
        <w:rPr>
          <w:szCs w:val="24"/>
        </w:rPr>
        <w:t>с помощью</w:t>
      </w:r>
      <w:r w:rsidR="008459DA" w:rsidRPr="008459DA">
        <w:rPr>
          <w:szCs w:val="24"/>
        </w:rPr>
        <w:t xml:space="preserve"> </w:t>
      </w:r>
      <w:r w:rsidR="00822517" w:rsidRPr="0060530F">
        <w:rPr>
          <w:szCs w:val="24"/>
        </w:rPr>
        <w:t>Подвижного</w:t>
      </w:r>
      <w:r w:rsidRPr="0060530F">
        <w:rPr>
          <w:szCs w:val="24"/>
        </w:rPr>
        <w:t xml:space="preserve"> зонд</w:t>
      </w:r>
      <w:r w:rsidR="00822517" w:rsidRPr="0060530F">
        <w:rPr>
          <w:szCs w:val="24"/>
        </w:rPr>
        <w:t>а</w:t>
      </w:r>
      <w:bookmarkEnd w:id="0"/>
      <w:bookmarkEnd w:id="1"/>
      <w:bookmarkEnd w:id="2"/>
    </w:p>
    <w:p w:rsidR="00C61F9B" w:rsidRPr="0060530F" w:rsidRDefault="003C0818" w:rsidP="00A179D4">
      <w:pPr>
        <w:pStyle w:val="Zv-Author"/>
        <w:spacing w:after="80"/>
      </w:pPr>
      <w:r w:rsidRPr="0060530F">
        <w:rPr>
          <w:u w:val="single"/>
        </w:rPr>
        <w:t>В</w:t>
      </w:r>
      <w:r w:rsidR="00C61F9B" w:rsidRPr="0060530F">
        <w:rPr>
          <w:u w:val="single"/>
        </w:rPr>
        <w:t>.</w:t>
      </w:r>
      <w:r w:rsidRPr="0060530F">
        <w:rPr>
          <w:u w:val="single"/>
        </w:rPr>
        <w:t>А</w:t>
      </w:r>
      <w:r w:rsidR="00C61F9B" w:rsidRPr="0060530F">
        <w:rPr>
          <w:u w:val="single"/>
        </w:rPr>
        <w:t>. Т</w:t>
      </w:r>
      <w:r w:rsidRPr="0060530F">
        <w:rPr>
          <w:u w:val="single"/>
        </w:rPr>
        <w:t>окарев</w:t>
      </w:r>
      <w:r w:rsidR="00C61F9B" w:rsidRPr="0060530F">
        <w:t>,</w:t>
      </w:r>
      <w:r w:rsidR="00DD7091" w:rsidRPr="0060530F">
        <w:t xml:space="preserve"> В.К. Гусев, </w:t>
      </w:r>
      <w:r w:rsidRPr="0060530F">
        <w:t>Н</w:t>
      </w:r>
      <w:r w:rsidR="00C61F9B" w:rsidRPr="0060530F">
        <w:t>.</w:t>
      </w:r>
      <w:r w:rsidRPr="0060530F">
        <w:t>А</w:t>
      </w:r>
      <w:r w:rsidR="00C61F9B" w:rsidRPr="0060530F">
        <w:t xml:space="preserve">. </w:t>
      </w:r>
      <w:r w:rsidRPr="0060530F">
        <w:t>Хромов</w:t>
      </w:r>
      <w:r w:rsidR="00440349" w:rsidRPr="0060530F">
        <w:t>, М</w:t>
      </w:r>
      <w:r w:rsidR="00DD7091" w:rsidRPr="0060530F">
        <w:t>.</w:t>
      </w:r>
      <w:r w:rsidR="00440349" w:rsidRPr="0060530F">
        <w:t>И</w:t>
      </w:r>
      <w:r w:rsidR="00DD7091" w:rsidRPr="0060530F">
        <w:t xml:space="preserve">. </w:t>
      </w:r>
      <w:r w:rsidR="00440349" w:rsidRPr="0060530F">
        <w:t>Патров</w:t>
      </w:r>
      <w:r w:rsidR="00DD7091" w:rsidRPr="0060530F">
        <w:t>, Ю.В. Петров</w:t>
      </w:r>
    </w:p>
    <w:p w:rsidR="00C61F9B" w:rsidRPr="00A179D4" w:rsidRDefault="00925541" w:rsidP="00A179D4">
      <w:pPr>
        <w:pStyle w:val="Zv-Organization"/>
        <w:spacing w:after="180"/>
      </w:pPr>
      <w:r w:rsidRPr="002F20E6">
        <w:rPr>
          <w:szCs w:val="24"/>
        </w:rPr>
        <w:t>Физико-технический институт им. А</w:t>
      </w:r>
      <w:r w:rsidRPr="00A179D4">
        <w:rPr>
          <w:szCs w:val="24"/>
        </w:rPr>
        <w:t>.</w:t>
      </w:r>
      <w:r w:rsidRPr="002F20E6">
        <w:rPr>
          <w:szCs w:val="24"/>
        </w:rPr>
        <w:t>Ф</w:t>
      </w:r>
      <w:r w:rsidRPr="00A179D4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A179D4">
        <w:rPr>
          <w:szCs w:val="24"/>
        </w:rPr>
        <w:t xml:space="preserve"> </w:t>
      </w:r>
      <w:r>
        <w:rPr>
          <w:szCs w:val="24"/>
        </w:rPr>
        <w:t>РАН</w:t>
      </w:r>
      <w:r w:rsidRPr="00A179D4">
        <w:rPr>
          <w:szCs w:val="24"/>
        </w:rPr>
        <w:t xml:space="preserve">, </w:t>
      </w:r>
      <w:r w:rsidRPr="002F20E6">
        <w:rPr>
          <w:szCs w:val="24"/>
        </w:rPr>
        <w:t>г</w:t>
      </w:r>
      <w:r w:rsidRPr="00A179D4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A179D4">
        <w:rPr>
          <w:szCs w:val="24"/>
        </w:rPr>
        <w:t>-</w:t>
      </w:r>
      <w:r w:rsidRPr="002F20E6">
        <w:rPr>
          <w:szCs w:val="24"/>
        </w:rPr>
        <w:t>Петербург</w:t>
      </w:r>
      <w:r w:rsidRPr="00A179D4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C61F9B">
        <w:t xml:space="preserve">, </w:t>
      </w:r>
      <w:r w:rsidR="00C61F9B">
        <w:br/>
      </w:r>
      <w:hyperlink r:id="rId7" w:history="1">
        <w:r w:rsidR="00A179D4" w:rsidRPr="00D02CAA">
          <w:rPr>
            <w:rStyle w:val="a7"/>
            <w:lang w:val="en-US"/>
          </w:rPr>
          <w:t>Valentin</w:t>
        </w:r>
        <w:r w:rsidR="00A179D4" w:rsidRPr="00D02CAA">
          <w:rPr>
            <w:rStyle w:val="a7"/>
          </w:rPr>
          <w:t>.</w:t>
        </w:r>
        <w:r w:rsidR="00A179D4" w:rsidRPr="00D02CAA">
          <w:rPr>
            <w:rStyle w:val="a7"/>
            <w:lang w:val="en-US"/>
          </w:rPr>
          <w:t>Tokarev</w:t>
        </w:r>
        <w:r w:rsidR="00A179D4" w:rsidRPr="00D02CAA">
          <w:rPr>
            <w:rStyle w:val="a7"/>
          </w:rPr>
          <w:t>@</w:t>
        </w:r>
        <w:r w:rsidR="00A179D4" w:rsidRPr="00D02CAA">
          <w:rPr>
            <w:rStyle w:val="a7"/>
            <w:lang w:val="en-US"/>
          </w:rPr>
          <w:t>mail</w:t>
        </w:r>
        <w:r w:rsidR="00A179D4" w:rsidRPr="00D02CAA">
          <w:rPr>
            <w:rStyle w:val="a7"/>
          </w:rPr>
          <w:t>.</w:t>
        </w:r>
        <w:r w:rsidR="00A179D4" w:rsidRPr="00D02CAA">
          <w:rPr>
            <w:rStyle w:val="a7"/>
            <w:lang w:val="en-US"/>
          </w:rPr>
          <w:t>ioffe</w:t>
        </w:r>
        <w:r w:rsidR="00A179D4" w:rsidRPr="00D02CAA">
          <w:rPr>
            <w:rStyle w:val="a7"/>
          </w:rPr>
          <w:t>.</w:t>
        </w:r>
        <w:r w:rsidR="00A179D4" w:rsidRPr="00D02CAA">
          <w:rPr>
            <w:rStyle w:val="a7"/>
            <w:lang w:val="en-US"/>
          </w:rPr>
          <w:t>ru</w:t>
        </w:r>
      </w:hyperlink>
    </w:p>
    <w:p w:rsidR="00F610EE" w:rsidRPr="005D0A95" w:rsidRDefault="0060530F" w:rsidP="00925541">
      <w:pPr>
        <w:pStyle w:val="Zv-bodyreport"/>
        <w:spacing w:line="228" w:lineRule="auto"/>
      </w:pPr>
      <w:r>
        <w:t>В токамаках существует область</w:t>
      </w:r>
      <w:r w:rsidR="005D0A95" w:rsidRPr="005D0A95">
        <w:t xml:space="preserve"> </w:t>
      </w:r>
      <w:r w:rsidR="005D0A95">
        <w:rPr>
          <w:lang w:val="en-US"/>
        </w:rPr>
        <w:t>SOL</w:t>
      </w:r>
      <w:r>
        <w:t xml:space="preserve">, где силовые линии магнитного поля незамкнуты. </w:t>
      </w:r>
      <w:r w:rsidR="006A1F03">
        <w:t>Характерн</w:t>
      </w:r>
      <w:r w:rsidR="00D95867">
        <w:t>ые</w:t>
      </w:r>
      <w:r>
        <w:t xml:space="preserve"> дл</w:t>
      </w:r>
      <w:r w:rsidR="006A1F03">
        <w:t>ин</w:t>
      </w:r>
      <w:r w:rsidR="00AB136F">
        <w:t>ы</w:t>
      </w:r>
      <w:r>
        <w:t xml:space="preserve"> спада </w:t>
      </w:r>
      <w:r w:rsidR="00D95867">
        <w:t>параметров плазмы</w:t>
      </w:r>
      <w:r>
        <w:t xml:space="preserve"> в SOL</w:t>
      </w:r>
      <w:r w:rsidR="006A1F03">
        <w:t xml:space="preserve"> во многом определя</w:t>
      </w:r>
      <w:r w:rsidR="00D95867">
        <w:t>ю</w:t>
      </w:r>
      <w:r w:rsidR="006A1F03">
        <w:t>т</w:t>
      </w:r>
      <w:r w:rsidR="00D95867">
        <w:t xml:space="preserve"> плотность</w:t>
      </w:r>
      <w:r w:rsidR="006A1F03">
        <w:t xml:space="preserve"> поток</w:t>
      </w:r>
      <w:r w:rsidR="00D95867">
        <w:t>а</w:t>
      </w:r>
      <w:r w:rsidR="006A1F03">
        <w:t xml:space="preserve"> тепла, идущ</w:t>
      </w:r>
      <w:r w:rsidR="00D95867">
        <w:t>его</w:t>
      </w:r>
      <w:r w:rsidR="006A1F03">
        <w:t xml:space="preserve"> на стенку и дивертор</w:t>
      </w:r>
      <w:r w:rsidR="00846B9F">
        <w:t xml:space="preserve">, и </w:t>
      </w:r>
      <w:r w:rsidR="005D0A95">
        <w:t>явля</w:t>
      </w:r>
      <w:r w:rsidR="00D95867">
        <w:t>ю</w:t>
      </w:r>
      <w:r w:rsidR="005D0A95">
        <w:t>тся одним</w:t>
      </w:r>
      <w:r w:rsidR="00D95867">
        <w:t>и</w:t>
      </w:r>
      <w:r w:rsidR="005D0A95">
        <w:t xml:space="preserve"> из важн</w:t>
      </w:r>
      <w:r w:rsidR="006A1F03">
        <w:t>ых</w:t>
      </w:r>
      <w:r w:rsidR="005D0A95">
        <w:t xml:space="preserve"> параметров для</w:t>
      </w:r>
      <w:r w:rsidR="00D94D11" w:rsidRPr="00D94D11">
        <w:t xml:space="preserve"> </w:t>
      </w:r>
      <w:r w:rsidR="00D94D11">
        <w:t>работы</w:t>
      </w:r>
      <w:r w:rsidR="005D0A95">
        <w:t xml:space="preserve"> будущих установок, основанных на идее УТС.</w:t>
      </w:r>
    </w:p>
    <w:p w:rsidR="006F3BAB" w:rsidRPr="008459DA" w:rsidRDefault="006F3BAB" w:rsidP="00A179D4">
      <w:pPr>
        <w:pStyle w:val="Zv-bodyreport"/>
        <w:spacing w:line="226" w:lineRule="auto"/>
      </w:pPr>
      <w:r w:rsidRPr="00066399">
        <w:t xml:space="preserve">Целью </w:t>
      </w:r>
      <w:r w:rsidR="00B16696" w:rsidRPr="00B16696">
        <w:t>данной</w:t>
      </w:r>
      <w:r w:rsidRPr="00066399">
        <w:t xml:space="preserve"> работы </w:t>
      </w:r>
      <w:r w:rsidRPr="006F0AFC">
        <w:t>было изучение SOL на</w:t>
      </w:r>
      <w:r w:rsidR="004915E8">
        <w:t xml:space="preserve"> сферическом</w:t>
      </w:r>
      <w:r w:rsidRPr="006F0AFC">
        <w:t xml:space="preserve"> токамаке Глобус</w:t>
      </w:r>
      <w:r w:rsidRPr="006F0AFC">
        <w:noBreakHyphen/>
        <w:t>М с помощью подвижного зонда</w:t>
      </w:r>
      <w:r>
        <w:t>, который установлен в экваториальной плоскости.</w:t>
      </w:r>
      <w:r w:rsidRPr="006F3BAB">
        <w:rPr>
          <w:rFonts w:eastAsia="Calibri"/>
          <w:sz w:val="28"/>
          <w:szCs w:val="28"/>
        </w:rPr>
        <w:t xml:space="preserve"> </w:t>
      </w:r>
      <w:r>
        <w:t>Подвижный зонд</w:t>
      </w:r>
      <w:r w:rsidRPr="006F3BAB">
        <w:t xml:space="preserve"> представляет</w:t>
      </w:r>
      <w:r w:rsidR="00AB136F">
        <w:t xml:space="preserve"> собой</w:t>
      </w:r>
      <w:r w:rsidRPr="006F3BAB">
        <w:t xml:space="preserve"> систему из четырёх </w:t>
      </w:r>
      <w:r w:rsidR="002113D6">
        <w:t>электродов, изготовленных</w:t>
      </w:r>
      <w:r>
        <w:t xml:space="preserve"> из молибдена</w:t>
      </w:r>
      <w:r w:rsidR="005B2B51">
        <w:t xml:space="preserve"> (диаметром </w:t>
      </w:r>
      <w:smartTag w:uri="urn:schemas-microsoft-com:office:smarttags" w:element="metricconverter">
        <w:smartTagPr>
          <w:attr w:name="ProductID" w:val="2,5 мм"/>
        </w:smartTagPr>
        <w:r w:rsidR="005B2B51">
          <w:t>2</w:t>
        </w:r>
        <w:r w:rsidR="00925541" w:rsidRPr="00A179D4">
          <w:t>,</w:t>
        </w:r>
        <w:r w:rsidR="005B2B51" w:rsidRPr="00247E75">
          <w:t>5</w:t>
        </w:r>
        <w:r w:rsidR="005B2B51" w:rsidRPr="00C12884">
          <w:t xml:space="preserve"> мм</w:t>
        </w:r>
      </w:smartTag>
      <w:r w:rsidR="005B2B51" w:rsidRPr="00C12884">
        <w:t xml:space="preserve"> и длин</w:t>
      </w:r>
      <w:r w:rsidR="004B3A6C">
        <w:t>ой</w:t>
      </w:r>
      <w:r w:rsidR="005B2B51" w:rsidRPr="00C12884">
        <w:t xml:space="preserve"> </w:t>
      </w:r>
      <w:smartTag w:uri="urn:schemas-microsoft-com:office:smarttags" w:element="metricconverter">
        <w:smartTagPr>
          <w:attr w:name="ProductID" w:val="2 мм"/>
        </w:smartTagPr>
        <w:r w:rsidR="005B2B51" w:rsidRPr="00247E75">
          <w:t xml:space="preserve">2 </w:t>
        </w:r>
        <w:r w:rsidR="005B2B51" w:rsidRPr="00C12884">
          <w:t>мм</w:t>
        </w:r>
      </w:smartTag>
      <w:r w:rsidR="005B2B51">
        <w:t>)</w:t>
      </w:r>
      <w:r w:rsidR="002113D6">
        <w:t>.</w:t>
      </w:r>
      <w:r>
        <w:t xml:space="preserve"> </w:t>
      </w:r>
      <w:r w:rsidR="002113D6">
        <w:t>И</w:t>
      </w:r>
      <w:r>
        <w:t>золяторы</w:t>
      </w:r>
      <w:r w:rsidR="002113D6">
        <w:t xml:space="preserve"> зонда выполнены</w:t>
      </w:r>
      <w:r>
        <w:t xml:space="preserve"> из нитрида бора</w:t>
      </w:r>
      <w:r w:rsidR="005B2B51">
        <w:t>.</w:t>
      </w:r>
      <w:r>
        <w:t xml:space="preserve"> </w:t>
      </w:r>
      <w:r w:rsidR="001C34FC">
        <w:t>Данная</w:t>
      </w:r>
      <w:r>
        <w:t xml:space="preserve"> конструкция может как единое целое смещаться на расстояние до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r w:rsidR="008459DA">
        <w:t xml:space="preserve"> между выстрелами.</w:t>
      </w:r>
    </w:p>
    <w:p w:rsidR="00822517" w:rsidRDefault="00A26585" w:rsidP="00A179D4">
      <w:pPr>
        <w:pStyle w:val="Zv-bodyreport"/>
        <w:spacing w:line="226" w:lineRule="auto"/>
        <w:rPr>
          <w:lang w:val="en-US"/>
        </w:rPr>
      </w:pPr>
      <w:r w:rsidRPr="00A26585">
        <w:t xml:space="preserve">Для измерений применялся метод </w:t>
      </w:r>
      <w:r>
        <w:t>«</w:t>
      </w:r>
      <w:r w:rsidRPr="00A26585">
        <w:t>гармоник</w:t>
      </w:r>
      <w:r>
        <w:t>» [</w:t>
      </w:r>
      <w:r w:rsidR="008519DB">
        <w:t>1</w:t>
      </w:r>
      <w:r>
        <w:t>], суть которого состоит в подач</w:t>
      </w:r>
      <w:r w:rsidR="00AB136F">
        <w:t>е</w:t>
      </w:r>
      <w:r>
        <w:t xml:space="preserve"> на зонд синусоидального модулирующего напряжения</w:t>
      </w:r>
      <w:r w:rsidR="00126E47">
        <w:t>, и</w:t>
      </w:r>
      <w:r w:rsidR="006E4BAA">
        <w:t xml:space="preserve"> </w:t>
      </w:r>
      <w:r>
        <w:t>сняти</w:t>
      </w:r>
      <w:r w:rsidR="00AB136F">
        <w:t>и</w:t>
      </w:r>
      <w:r>
        <w:t xml:space="preserve"> зависимости промодулированного тока</w:t>
      </w:r>
      <w:r w:rsidR="00822517" w:rsidRPr="00822517">
        <w:t xml:space="preserve"> от времени</w:t>
      </w:r>
      <w:r w:rsidR="00C61F9B">
        <w:t>.</w:t>
      </w:r>
      <w:r w:rsidR="00822517">
        <w:t xml:space="preserve"> </w:t>
      </w:r>
      <w:r w:rsidR="00580280" w:rsidRPr="00580280">
        <w:t>Р</w:t>
      </w:r>
      <w:r w:rsidR="00580280">
        <w:t>аскладывая</w:t>
      </w:r>
      <w:r w:rsidR="00822517">
        <w:t xml:space="preserve"> полученн</w:t>
      </w:r>
      <w:r w:rsidR="00580280">
        <w:t>ый</w:t>
      </w:r>
      <w:r w:rsidR="00822517">
        <w:t xml:space="preserve"> сигнал тока</w:t>
      </w:r>
      <w:r w:rsidR="00580280">
        <w:t xml:space="preserve"> в спектр</w:t>
      </w:r>
      <w:r w:rsidR="00822517">
        <w:t xml:space="preserve"> на каждом периоде</w:t>
      </w:r>
      <w:r w:rsidR="00EB2C68">
        <w:t>,</w:t>
      </w:r>
      <w:r w:rsidR="00822517">
        <w:t xml:space="preserve"> можно рассчитать электронную температуру и </w:t>
      </w:r>
      <w:r w:rsidR="00E90FCC" w:rsidRPr="00E90FCC">
        <w:t>концентрацию</w:t>
      </w:r>
      <w:r w:rsidR="00822517">
        <w:t xml:space="preserve"> по следующим формулам:</w:t>
      </w:r>
    </w:p>
    <w:p w:rsidR="00A179D4" w:rsidRPr="00A179D4" w:rsidRDefault="00A179D4" w:rsidP="00A179D4">
      <w:pPr>
        <w:pStyle w:val="Zv-formula"/>
      </w:pPr>
      <w:r w:rsidRPr="00A179D4">
        <w:t xml:space="preserve"> </w:t>
      </w:r>
      <w:r w:rsidRPr="00A179D4">
        <w:tab/>
      </w:r>
      <w:r w:rsidRPr="003F2254">
        <w:rPr>
          <w:position w:val="-14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3.75pt;height:18pt" o:ole="">
            <v:imagedata r:id="rId8" o:title=""/>
          </v:shape>
          <o:OLEObject Type="Embed" ProgID="Equation.3" ShapeID="_x0000_i1028" DrawAspect="Content" ObjectID="_1514549979" r:id="rId9"/>
        </w:object>
      </w:r>
      <w:r w:rsidRPr="00A179D4">
        <w:t xml:space="preserve"> </w:t>
      </w:r>
      <w:r w:rsidRPr="00A179D4">
        <w:tab/>
        <w:t>(1)</w:t>
      </w:r>
    </w:p>
    <w:p w:rsidR="00A179D4" w:rsidRPr="00A179D4" w:rsidRDefault="00A179D4" w:rsidP="00A179D4">
      <w:pPr>
        <w:pStyle w:val="Zv-formula"/>
      </w:pPr>
      <w:r w:rsidRPr="00A179D4">
        <w:t xml:space="preserve"> </w:t>
      </w:r>
      <w:r w:rsidRPr="00A179D4">
        <w:tab/>
      </w:r>
      <w:r w:rsidRPr="003F2254">
        <w:rPr>
          <w:position w:val="-34"/>
        </w:rPr>
        <w:object w:dxaOrig="3500" w:dyaOrig="760">
          <v:shape id="_x0000_i1030" type="#_x0000_t75" style="width:138.75pt;height:30pt" o:ole="">
            <v:imagedata r:id="rId10" o:title=""/>
          </v:shape>
          <o:OLEObject Type="Embed" ProgID="Equation.3" ShapeID="_x0000_i1030" DrawAspect="Content" ObjectID="_1514549980" r:id="rId11"/>
        </w:object>
      </w:r>
      <w:r w:rsidRPr="00A179D4">
        <w:tab/>
        <w:t>(2)</w:t>
      </w:r>
    </w:p>
    <w:p w:rsidR="00C61F9B" w:rsidRDefault="00E90FCC" w:rsidP="00A179D4">
      <w:pPr>
        <w:pStyle w:val="Zv-bodyreportcont"/>
        <w:spacing w:line="226" w:lineRule="auto"/>
      </w:pPr>
      <w:r>
        <w:t>г</w:t>
      </w:r>
      <w:r w:rsidR="00D13134">
        <w:t>де</w:t>
      </w:r>
      <w:r>
        <w:t xml:space="preserve"> </w:t>
      </w:r>
      <w:r w:rsidRPr="00E90FCC">
        <w:rPr>
          <w:i/>
        </w:rPr>
        <w:t>e</w:t>
      </w:r>
      <w:r>
        <w:t xml:space="preserve"> </w:t>
      </w:r>
      <w:r w:rsidR="00925541" w:rsidRPr="00A179D4">
        <w:t>—</w:t>
      </w:r>
      <w:r w:rsidRPr="00E90FCC">
        <w:t xml:space="preserve"> заряд электрона,</w:t>
      </w:r>
      <w:r>
        <w:t xml:space="preserve"> </w:t>
      </w:r>
      <w:r w:rsidRPr="00E90FCC">
        <w:rPr>
          <w:i/>
        </w:rPr>
        <w:t>A</w:t>
      </w:r>
      <w:r w:rsidRPr="00E90FCC">
        <w:rPr>
          <w:i/>
          <w:vertAlign w:val="subscript"/>
        </w:rPr>
        <w:t>p</w:t>
      </w:r>
      <w:r>
        <w:t xml:space="preserve"> </w:t>
      </w:r>
      <w:r w:rsidR="00925541" w:rsidRPr="00A179D4">
        <w:t>—</w:t>
      </w:r>
      <w:r w:rsidRPr="00E90FCC">
        <w:t xml:space="preserve"> собирающая поверхность зонда, </w:t>
      </w:r>
      <w:r w:rsidRPr="00E90FCC">
        <w:rPr>
          <w:i/>
          <w:lang w:val="en-US"/>
        </w:rPr>
        <w:t>k</w:t>
      </w:r>
      <w:r w:rsidRPr="00166EC8">
        <w:rPr>
          <w:i/>
          <w:vertAlign w:val="subscript"/>
          <w:lang w:val="en-US"/>
        </w:rPr>
        <w:t>B</w:t>
      </w:r>
      <w:r w:rsidRPr="00E90FCC">
        <w:t xml:space="preserve"> </w:t>
      </w:r>
      <w:r w:rsidR="00925541" w:rsidRPr="00A179D4">
        <w:t>—</w:t>
      </w:r>
      <w:r w:rsidRPr="00E90FCC">
        <w:t xml:space="preserve"> постоянная Больцмана</w:t>
      </w:r>
      <w:r w:rsidR="00166EC8" w:rsidRPr="00166EC8">
        <w:t>,</w:t>
      </w:r>
      <w:r w:rsidR="00D13134">
        <w:t xml:space="preserve"> </w:t>
      </w:r>
      <w:r w:rsidR="00D13134" w:rsidRPr="00580280">
        <w:rPr>
          <w:i/>
        </w:rPr>
        <w:t>U</w:t>
      </w:r>
      <w:r w:rsidR="00D13134" w:rsidRPr="00580280">
        <w:rPr>
          <w:vertAlign w:val="subscript"/>
        </w:rPr>
        <w:t>0</w:t>
      </w:r>
      <w:r w:rsidR="00D13134">
        <w:t xml:space="preserve"> </w:t>
      </w:r>
      <w:r w:rsidR="00925541" w:rsidRPr="00A179D4">
        <w:t>—</w:t>
      </w:r>
      <w:r w:rsidR="00D13134" w:rsidRPr="00D13134">
        <w:t xml:space="preserve"> амплитуда модулирующего напряжения </w:t>
      </w:r>
      <w:r w:rsidR="00580280">
        <w:t>на данном периоде, |</w:t>
      </w:r>
      <w:r w:rsidR="00580280" w:rsidRPr="00580280">
        <w:rPr>
          <w:i/>
        </w:rPr>
        <w:t>I</w:t>
      </w:r>
      <w:r w:rsidR="00580280" w:rsidRPr="00580280">
        <w:rPr>
          <w:vertAlign w:val="subscript"/>
        </w:rPr>
        <w:t>1ω</w:t>
      </w:r>
      <w:r w:rsidR="00580280" w:rsidRPr="00580280">
        <w:t xml:space="preserve">|, </w:t>
      </w:r>
      <w:r w:rsidR="00580280">
        <w:t>|</w:t>
      </w:r>
      <w:r w:rsidR="00580280" w:rsidRPr="00580280">
        <w:rPr>
          <w:i/>
        </w:rPr>
        <w:t>I</w:t>
      </w:r>
      <w:r w:rsidR="00580280">
        <w:rPr>
          <w:vertAlign w:val="subscript"/>
        </w:rPr>
        <w:t>2</w:t>
      </w:r>
      <w:r w:rsidR="00580280" w:rsidRPr="00580280">
        <w:rPr>
          <w:vertAlign w:val="subscript"/>
        </w:rPr>
        <w:t>ω</w:t>
      </w:r>
      <w:r w:rsidR="00580280" w:rsidRPr="00580280">
        <w:t xml:space="preserve">| </w:t>
      </w:r>
      <w:r w:rsidR="00925541" w:rsidRPr="00A179D4">
        <w:t>—</w:t>
      </w:r>
      <w:r w:rsidR="00580280" w:rsidRPr="00580280">
        <w:t xml:space="preserve"> амплитуда п</w:t>
      </w:r>
      <w:r w:rsidR="00580280">
        <w:t>ервой и второй гармоники соответственно, I</w:t>
      </w:r>
      <w:r w:rsidR="00580280" w:rsidRPr="00580280">
        <w:rPr>
          <w:vertAlign w:val="subscript"/>
        </w:rPr>
        <w:t>0</w:t>
      </w:r>
      <w:r w:rsidR="00580280" w:rsidRPr="00580280">
        <w:t xml:space="preserve">, </w:t>
      </w:r>
      <w:r w:rsidR="00580280">
        <w:rPr>
          <w:lang w:val="en-US"/>
        </w:rPr>
        <w:t>I</w:t>
      </w:r>
      <w:r w:rsidR="00580280" w:rsidRPr="00580280">
        <w:rPr>
          <w:vertAlign w:val="subscript"/>
        </w:rPr>
        <w:t>1</w:t>
      </w:r>
      <w:r w:rsidR="00925541">
        <w:t xml:space="preserve"> </w:t>
      </w:r>
      <w:r w:rsidR="00925541" w:rsidRPr="00A179D4">
        <w:t>—</w:t>
      </w:r>
      <w:r w:rsidR="00580280" w:rsidRPr="00580280">
        <w:t xml:space="preserve"> функции Инфельда</w:t>
      </w:r>
      <w:r w:rsidR="00EB2C35">
        <w:t xml:space="preserve"> нулевого и первого порядка</w:t>
      </w:r>
      <w:r w:rsidR="00580280" w:rsidRPr="00580280">
        <w:t>.</w:t>
      </w:r>
      <w:r w:rsidR="00EB2C68">
        <w:t xml:space="preserve"> </w:t>
      </w:r>
      <w:r w:rsidR="00A26585">
        <w:t xml:space="preserve">Частота </w:t>
      </w:r>
      <w:r w:rsidR="008B2A93">
        <w:t>модулирующего напряжения в экспериментах</w:t>
      </w:r>
      <w:r w:rsidR="00A26585">
        <w:t xml:space="preserve"> составляла 87 кГц, а амплитуда 15 В.</w:t>
      </w:r>
    </w:p>
    <w:p w:rsidR="003C0818" w:rsidRDefault="003C0818" w:rsidP="00A179D4">
      <w:pPr>
        <w:pStyle w:val="Zv-bodyreport"/>
        <w:spacing w:line="226" w:lineRule="auto"/>
      </w:pPr>
      <w:r>
        <w:t xml:space="preserve">В ходе работы были определены характерные </w:t>
      </w:r>
      <w:r w:rsidR="006E268A">
        <w:t>длины</w:t>
      </w:r>
      <w:r>
        <w:t xml:space="preserve"> спада</w:t>
      </w:r>
      <w:r w:rsidR="00B05477">
        <w:t xml:space="preserve"> следующих величин:</w:t>
      </w:r>
      <w:r>
        <w:t xml:space="preserve"> электронной </w:t>
      </w:r>
      <w:r w:rsidR="000F5067">
        <w:t>температуры</w:t>
      </w:r>
      <w:r w:rsidR="006E268A">
        <w:t xml:space="preserve"> (</w:t>
      </w:r>
      <w:r w:rsidR="006E268A" w:rsidRPr="006E268A">
        <w:rPr>
          <w:bCs/>
          <w:i/>
        </w:rPr>
        <w:t>λ</w:t>
      </w:r>
      <w:r w:rsidR="006E268A" w:rsidRPr="006E268A">
        <w:rPr>
          <w:bCs/>
          <w:i/>
          <w:iCs/>
          <w:vertAlign w:val="subscript"/>
          <w:lang w:val="en-US"/>
        </w:rPr>
        <w:t>T</w:t>
      </w:r>
      <w:r w:rsidR="006E268A" w:rsidRPr="006E268A">
        <w:rPr>
          <w:bCs/>
          <w:i/>
          <w:iCs/>
          <w:vertAlign w:val="subscript"/>
        </w:rPr>
        <w:t>e</w:t>
      </w:r>
      <w:r w:rsidR="001D485E">
        <w:t xml:space="preserve">), </w:t>
      </w:r>
      <w:r w:rsidR="00B05477">
        <w:t>концентрации</w:t>
      </w:r>
      <w:r w:rsidR="001D485E">
        <w:t xml:space="preserve"> электронов</w:t>
      </w:r>
      <w:r w:rsidR="006E268A">
        <w:t xml:space="preserve"> (</w:t>
      </w:r>
      <w:r w:rsidR="006E268A" w:rsidRPr="006E268A">
        <w:rPr>
          <w:bCs/>
          <w:i/>
        </w:rPr>
        <w:t>λ</w:t>
      </w:r>
      <w:r w:rsidR="006E268A">
        <w:rPr>
          <w:bCs/>
          <w:i/>
          <w:iCs/>
          <w:vertAlign w:val="subscript"/>
          <w:lang w:val="en-US"/>
        </w:rPr>
        <w:t>n</w:t>
      </w:r>
      <w:r w:rsidR="006E268A" w:rsidRPr="006E268A">
        <w:rPr>
          <w:bCs/>
          <w:i/>
          <w:iCs/>
          <w:vertAlign w:val="subscript"/>
        </w:rPr>
        <w:t>e</w:t>
      </w:r>
      <w:r w:rsidR="006E268A">
        <w:t>)</w:t>
      </w:r>
      <w:r w:rsidR="001D485E">
        <w:t xml:space="preserve"> и</w:t>
      </w:r>
      <w:r>
        <w:t xml:space="preserve"> плотности теплового потока</w:t>
      </w:r>
      <w:r w:rsidR="006E268A" w:rsidRPr="006E268A">
        <w:t xml:space="preserve"> </w:t>
      </w:r>
      <w:r w:rsidR="006E268A">
        <w:t>(</w:t>
      </w:r>
      <w:r w:rsidR="006E268A" w:rsidRPr="006E268A">
        <w:rPr>
          <w:bCs/>
          <w:i/>
        </w:rPr>
        <w:t>λ</w:t>
      </w:r>
      <w:r w:rsidR="006E268A" w:rsidRPr="006E268A">
        <w:rPr>
          <w:bCs/>
          <w:iCs/>
          <w:vertAlign w:val="subscript"/>
          <w:lang w:val="en-US"/>
        </w:rPr>
        <w:t>q</w:t>
      </w:r>
      <w:r w:rsidR="006E268A">
        <w:t>)</w:t>
      </w:r>
      <w:r w:rsidR="00580280">
        <w:t xml:space="preserve">. </w:t>
      </w:r>
      <w:r w:rsidR="00F67CC5">
        <w:t>Измерения проводились для серий разрядов с различным током по плазме, так как известные скейлинги [</w:t>
      </w:r>
      <w:r w:rsidR="00F67CC5" w:rsidRPr="00F67CC5">
        <w:t>2,</w:t>
      </w:r>
      <w:r w:rsidR="00925541">
        <w:rPr>
          <w:lang w:val="en-US"/>
        </w:rPr>
        <w:t> </w:t>
      </w:r>
      <w:r w:rsidR="00F67CC5" w:rsidRPr="00F67CC5">
        <w:t>3</w:t>
      </w:r>
      <w:r w:rsidR="00F67CC5">
        <w:t>] предсказывают сильную</w:t>
      </w:r>
      <w:r w:rsidR="00BC5128">
        <w:t xml:space="preserve"> обратную</w:t>
      </w:r>
      <w:r w:rsidR="00F67CC5">
        <w:t xml:space="preserve"> зависимость длины спада</w:t>
      </w:r>
      <w:r w:rsidR="00DD6158" w:rsidRPr="0051553E">
        <w:t xml:space="preserve"> плотности</w:t>
      </w:r>
      <w:r w:rsidR="00F67CC5">
        <w:t xml:space="preserve"> теплового потока от этой величины.</w:t>
      </w:r>
      <w:r>
        <w:t xml:space="preserve"> Из таблицы видно, что полученные величины находятся в каче</w:t>
      </w:r>
      <w:r w:rsidR="00CB470C">
        <w:t>с</w:t>
      </w:r>
      <w:r w:rsidR="00476B96">
        <w:t>твенном соответствии</w:t>
      </w:r>
      <w:r>
        <w:t xml:space="preserve"> со скейлингом Голдст</w:t>
      </w:r>
      <w:r w:rsidR="00CB470C">
        <w:t>она</w:t>
      </w:r>
      <w:r w:rsidR="00376F11">
        <w:t xml:space="preserve"> (</w:t>
      </w:r>
      <w:r w:rsidR="00376F11" w:rsidRPr="00376F11">
        <w:rPr>
          <w:bCs/>
          <w:i/>
        </w:rPr>
        <w:t>λ</w:t>
      </w:r>
      <w:r w:rsidR="00376F11" w:rsidRPr="00376F11">
        <w:rPr>
          <w:bCs/>
          <w:vertAlign w:val="superscript"/>
        </w:rPr>
        <w:t>Gol</w:t>
      </w:r>
      <w:r w:rsidR="00376F11" w:rsidRPr="00376F11">
        <w:rPr>
          <w:bCs/>
          <w:vertAlign w:val="superscript"/>
          <w:lang w:val="en-US"/>
        </w:rPr>
        <w:t>dston</w:t>
      </w:r>
      <w:r w:rsidR="00376F11" w:rsidRPr="00376F11">
        <w:rPr>
          <w:bCs/>
          <w:i/>
          <w:iCs/>
          <w:vertAlign w:val="subscript"/>
        </w:rPr>
        <w:t>ne</w:t>
      </w:r>
      <w:r w:rsidR="00376F11">
        <w:t>)</w:t>
      </w:r>
      <w:r w:rsidR="00A90B38">
        <w:t xml:space="preserve"> [</w:t>
      </w:r>
      <w:r w:rsidR="00443B24" w:rsidRPr="00443B24">
        <w:t>2</w:t>
      </w:r>
      <w:r w:rsidR="00A90B38">
        <w:t>]</w:t>
      </w:r>
      <w:r>
        <w:t>, и со скейлингом Эйха</w:t>
      </w:r>
      <w:r w:rsidR="00376F11">
        <w:t xml:space="preserve"> (</w:t>
      </w:r>
      <w:r w:rsidR="00376F11" w:rsidRPr="00376F11">
        <w:rPr>
          <w:bCs/>
          <w:i/>
        </w:rPr>
        <w:t>λ</w:t>
      </w:r>
      <w:r w:rsidR="00376F11" w:rsidRPr="00376F11">
        <w:rPr>
          <w:bCs/>
          <w:vertAlign w:val="superscript"/>
        </w:rPr>
        <w:t>Eich</w:t>
      </w:r>
      <w:r w:rsidR="00376F11" w:rsidRPr="00376F11">
        <w:rPr>
          <w:bCs/>
          <w:vertAlign w:val="subscript"/>
        </w:rPr>
        <w:t>q</w:t>
      </w:r>
      <w:r w:rsidR="00376F11">
        <w:t>)</w:t>
      </w:r>
      <w:r w:rsidR="00A90B38" w:rsidRPr="00A90B38">
        <w:t xml:space="preserve"> [</w:t>
      </w:r>
      <w:r w:rsidR="00443B24" w:rsidRPr="00443B24">
        <w:t>3</w:t>
      </w:r>
      <w:r w:rsidR="00A90B38" w:rsidRPr="00A90B38">
        <w:t>].</w:t>
      </w:r>
    </w:p>
    <w:p w:rsidR="00A90B38" w:rsidRPr="00A90B38" w:rsidRDefault="00A90B38" w:rsidP="00822517">
      <w:pPr>
        <w:pStyle w:val="Zv-bodyreport"/>
        <w:spacing w:before="120"/>
        <w:jc w:val="center"/>
      </w:pPr>
      <w:bookmarkStart w:id="3" w:name="_Ref421984207"/>
      <w:r w:rsidRPr="00A90B38">
        <w:t>Таблица</w:t>
      </w:r>
      <w:bookmarkEnd w:id="3"/>
      <w:r w:rsidRPr="00A90B38">
        <w:t xml:space="preserve">. Характерные </w:t>
      </w:r>
      <w:r w:rsidR="006E268A">
        <w:t>длины</w:t>
      </w:r>
      <w:r w:rsidRPr="00A90B38">
        <w:t xml:space="preserve"> спадов для различных величин.</w:t>
      </w:r>
    </w:p>
    <w:tbl>
      <w:tblPr>
        <w:tblW w:w="9386" w:type="dxa"/>
        <w:tblInd w:w="468" w:type="dxa"/>
        <w:tblLook w:val="0000"/>
      </w:tblPr>
      <w:tblGrid>
        <w:gridCol w:w="1950"/>
        <w:gridCol w:w="747"/>
        <w:gridCol w:w="1444"/>
        <w:gridCol w:w="1317"/>
        <w:gridCol w:w="1615"/>
        <w:gridCol w:w="1067"/>
        <w:gridCol w:w="1246"/>
      </w:tblGrid>
      <w:tr w:rsidR="00A90B38" w:rsidRPr="00024AEC" w:rsidTr="00925541">
        <w:trPr>
          <w:trHeight w:val="46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A90B38" w:rsidRDefault="00A90B38" w:rsidP="00155DF3">
            <w:pPr>
              <w:jc w:val="center"/>
              <w:rPr>
                <w:b/>
                <w:bCs/>
              </w:rPr>
            </w:pPr>
            <w:r w:rsidRPr="00A90B38">
              <w:rPr>
                <w:b/>
                <w:bCs/>
              </w:rPr>
              <w:t>Серия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EB2C68">
              <w:rPr>
                <w:b/>
                <w:bCs/>
                <w:i/>
              </w:rPr>
              <w:t>I</w:t>
            </w:r>
            <w:r w:rsidRPr="00C314F5">
              <w:rPr>
                <w:b/>
                <w:bCs/>
                <w:vertAlign w:val="subscript"/>
              </w:rPr>
              <w:t>p</w:t>
            </w:r>
            <w:r w:rsidRPr="00024AEC">
              <w:rPr>
                <w:b/>
                <w:bCs/>
              </w:rPr>
              <w:t>, 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6E268A">
              <w:rPr>
                <w:b/>
                <w:bCs/>
                <w:i/>
              </w:rPr>
              <w:t>λ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T</w:t>
            </w:r>
            <w:r w:rsidRPr="008C3C65">
              <w:rPr>
                <w:b/>
                <w:bCs/>
                <w:i/>
                <w:iCs/>
                <w:vertAlign w:val="subscript"/>
              </w:rPr>
              <w:t>e</w:t>
            </w:r>
            <w:r w:rsidRPr="00024AEC">
              <w:rPr>
                <w:b/>
                <w:bCs/>
              </w:rPr>
              <w:t>, мм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6E268A">
              <w:rPr>
                <w:b/>
                <w:bCs/>
                <w:i/>
              </w:rPr>
              <w:t>λ</w:t>
            </w:r>
            <w:r w:rsidRPr="008C3C65">
              <w:rPr>
                <w:b/>
                <w:bCs/>
                <w:i/>
                <w:iCs/>
                <w:vertAlign w:val="subscript"/>
              </w:rPr>
              <w:t>ne</w:t>
            </w:r>
            <w:r w:rsidRPr="00024AEC">
              <w:rPr>
                <w:b/>
                <w:bCs/>
              </w:rPr>
              <w:t>, мм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6E268A">
              <w:rPr>
                <w:b/>
                <w:bCs/>
                <w:i/>
              </w:rPr>
              <w:t>λ</w:t>
            </w:r>
            <w:r w:rsidRPr="00024AEC">
              <w:rPr>
                <w:b/>
                <w:bCs/>
                <w:vertAlign w:val="superscript"/>
              </w:rPr>
              <w:t>Gol</w:t>
            </w:r>
            <w:r>
              <w:rPr>
                <w:b/>
                <w:bCs/>
                <w:vertAlign w:val="superscript"/>
                <w:lang w:val="en-US"/>
              </w:rPr>
              <w:t>dston</w:t>
            </w:r>
            <w:r w:rsidRPr="008C3C65">
              <w:rPr>
                <w:b/>
                <w:bCs/>
                <w:i/>
                <w:iCs/>
                <w:vertAlign w:val="subscript"/>
              </w:rPr>
              <w:t>ne</w:t>
            </w:r>
            <w:r w:rsidRPr="00024AEC">
              <w:rPr>
                <w:b/>
                <w:bCs/>
              </w:rPr>
              <w:t>, 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6E268A">
              <w:rPr>
                <w:b/>
                <w:bCs/>
                <w:i/>
              </w:rPr>
              <w:t>λ</w:t>
            </w:r>
            <w:r w:rsidRPr="00A90B38">
              <w:rPr>
                <w:b/>
                <w:bCs/>
                <w:vertAlign w:val="subscript"/>
              </w:rPr>
              <w:t>q</w:t>
            </w:r>
            <w:r w:rsidRPr="00024AEC">
              <w:rPr>
                <w:b/>
                <w:bCs/>
              </w:rPr>
              <w:t>, мм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  <w:rPr>
                <w:b/>
                <w:bCs/>
              </w:rPr>
            </w:pPr>
            <w:r w:rsidRPr="006E268A">
              <w:rPr>
                <w:b/>
                <w:bCs/>
                <w:i/>
              </w:rPr>
              <w:t>λ</w:t>
            </w:r>
            <w:r w:rsidRPr="00024AEC">
              <w:rPr>
                <w:b/>
                <w:bCs/>
                <w:vertAlign w:val="superscript"/>
              </w:rPr>
              <w:t>Eich</w:t>
            </w:r>
            <w:r w:rsidRPr="00A90B38">
              <w:rPr>
                <w:b/>
                <w:bCs/>
                <w:vertAlign w:val="subscript"/>
              </w:rPr>
              <w:t>q</w:t>
            </w:r>
            <w:r w:rsidRPr="00024AEC">
              <w:rPr>
                <w:b/>
                <w:bCs/>
              </w:rPr>
              <w:t>, мм</w:t>
            </w:r>
          </w:p>
        </w:tc>
      </w:tr>
      <w:tr w:rsidR="00A90B38" w:rsidRPr="00024AEC" w:rsidTr="00925541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A90B38" w:rsidRDefault="00A90B38" w:rsidP="00155DF3">
            <w:pPr>
              <w:jc w:val="center"/>
            </w:pPr>
            <w:r w:rsidRPr="00A90B38">
              <w:t>#34435</w:t>
            </w:r>
            <w:r w:rsidR="00925541">
              <w:rPr>
                <w:lang w:val="en-US"/>
              </w:rPr>
              <w:t> – </w:t>
            </w:r>
            <w:r w:rsidRPr="00A90B38">
              <w:t>34444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26</w:t>
            </w:r>
            <w:r w:rsidR="00925541">
              <w:rPr>
                <w:lang w:val="en-US"/>
              </w:rPr>
              <w:t>,</w:t>
            </w:r>
            <w:r w:rsidRPr="00024AEC">
              <w:t>6</w:t>
            </w:r>
            <w:r w:rsidR="00925541">
              <w:rPr>
                <w:lang w:val="en-US"/>
              </w:rPr>
              <w:t> </w:t>
            </w:r>
            <w:r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7</w:t>
            </w:r>
            <w:r w:rsidR="00925541">
              <w:rPr>
                <w:lang w:val="en-US"/>
              </w:rPr>
              <w:t>,</w:t>
            </w:r>
            <w:r w:rsidRPr="00024AEC"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16</w:t>
            </w:r>
            <w:r w:rsidR="00925541">
              <w:rPr>
                <w:lang w:val="en-US"/>
              </w:rPr>
              <w:t>,</w:t>
            </w:r>
            <w:r w:rsidRPr="00024AEC">
              <w:t>9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1</w:t>
            </w:r>
            <w:r w:rsidR="00925541">
              <w:rPr>
                <w:lang w:val="en-US"/>
              </w:rPr>
              <w:t>,</w:t>
            </w:r>
            <w:r w:rsidRPr="00024AEC"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16</w:t>
            </w:r>
            <w:r w:rsidR="00925541">
              <w:rPr>
                <w:lang w:val="en-US"/>
              </w:rPr>
              <w:t>,</w:t>
            </w:r>
            <w:r w:rsidRPr="00024AEC"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8</w:t>
            </w:r>
            <w:r w:rsidR="00925541">
              <w:rPr>
                <w:lang w:val="en-US"/>
              </w:rPr>
              <w:t>,</w:t>
            </w:r>
            <w:r w:rsidRPr="00024AEC">
              <w:t>6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9</w:t>
            </w:r>
            <w:r w:rsidR="00925541">
              <w:rPr>
                <w:lang w:val="en-US"/>
              </w:rPr>
              <w:t>,</w:t>
            </w:r>
            <w:r w:rsidRPr="00024AEC">
              <w:t>5</w:t>
            </w:r>
          </w:p>
        </w:tc>
      </w:tr>
      <w:tr w:rsidR="00A90B38" w:rsidRPr="00024AEC" w:rsidTr="00925541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A90B38" w:rsidRDefault="00A90B38" w:rsidP="00155DF3">
            <w:pPr>
              <w:jc w:val="center"/>
            </w:pPr>
            <w:r w:rsidRPr="00A90B38">
              <w:t>#34350</w:t>
            </w:r>
            <w:r w:rsidR="00925541">
              <w:rPr>
                <w:lang w:val="en-US"/>
              </w:rPr>
              <w:t> – </w:t>
            </w:r>
            <w:r w:rsidRPr="00A90B38">
              <w:t>34355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31</w:t>
            </w:r>
            <w:r w:rsidR="00925541">
              <w:rPr>
                <w:lang w:val="en-US"/>
              </w:rPr>
              <w:t>,</w:t>
            </w:r>
            <w:r w:rsidRPr="00024AEC">
              <w:t>3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9</w:t>
            </w:r>
            <w:r w:rsidR="00925541">
              <w:rPr>
                <w:lang w:val="en-US"/>
              </w:rPr>
              <w:t>,</w:t>
            </w:r>
            <w:r w:rsidRPr="00024AEC"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11</w:t>
            </w:r>
            <w:r w:rsidR="00925541">
              <w:rPr>
                <w:lang w:val="en-US"/>
              </w:rPr>
              <w:t>,</w:t>
            </w:r>
            <w:r w:rsidRPr="00024AEC">
              <w:t>0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3</w:t>
            </w:r>
            <w:r w:rsidR="00925541">
              <w:rPr>
                <w:lang w:val="en-US"/>
              </w:rPr>
              <w:t>,</w:t>
            </w:r>
            <w:r w:rsidRPr="00024AEC"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12</w:t>
            </w:r>
            <w:r w:rsidR="00925541">
              <w:rPr>
                <w:lang w:val="en-US"/>
              </w:rPr>
              <w:t>,</w:t>
            </w:r>
            <w:r w:rsidRPr="00024AEC">
              <w:t>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7</w:t>
            </w:r>
            <w:r w:rsidR="00925541">
              <w:rPr>
                <w:lang w:val="en-US"/>
              </w:rPr>
              <w:t>,</w:t>
            </w:r>
            <w:r w:rsidRPr="00024AEC">
              <w:t>2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0.9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7</w:t>
            </w:r>
            <w:r w:rsidR="00925541">
              <w:rPr>
                <w:lang w:val="en-US"/>
              </w:rPr>
              <w:t>,</w:t>
            </w:r>
            <w:r w:rsidRPr="00024AEC">
              <w:t>9</w:t>
            </w:r>
          </w:p>
        </w:tc>
      </w:tr>
      <w:tr w:rsidR="00A90B38" w:rsidRPr="00024AEC" w:rsidTr="00925541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A90B38" w:rsidRDefault="00A90B38" w:rsidP="00155DF3">
            <w:pPr>
              <w:jc w:val="center"/>
            </w:pPr>
            <w:r w:rsidRPr="00A90B38">
              <w:t>#34398</w:t>
            </w:r>
            <w:r w:rsidR="00925541">
              <w:rPr>
                <w:lang w:val="en-US"/>
              </w:rPr>
              <w:t> – </w:t>
            </w:r>
            <w:r w:rsidRPr="00A90B38">
              <w:t>344403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31</w:t>
            </w:r>
            <w:r w:rsidR="00925541">
              <w:rPr>
                <w:lang w:val="en-US"/>
              </w:rPr>
              <w:t>,</w:t>
            </w:r>
            <w:r w:rsidRPr="00024AEC">
              <w:t>2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10</w:t>
            </w:r>
            <w:r w:rsidR="00925541">
              <w:rPr>
                <w:lang w:val="en-US"/>
              </w:rPr>
              <w:t>,</w:t>
            </w:r>
            <w:r w:rsidRPr="00024AEC"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9</w:t>
            </w:r>
            <w:r w:rsidR="00925541">
              <w:rPr>
                <w:lang w:val="en-US"/>
              </w:rPr>
              <w:t>,</w:t>
            </w:r>
            <w:r w:rsidRPr="00024AEC">
              <w:t>2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1</w:t>
            </w:r>
            <w:r w:rsidR="00925541">
              <w:rPr>
                <w:lang w:val="en-US"/>
              </w:rPr>
              <w:t>,</w:t>
            </w:r>
            <w:r w:rsidRPr="00024AEC"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10</w:t>
            </w:r>
            <w:r w:rsidR="00925541">
              <w:rPr>
                <w:lang w:val="en-US"/>
              </w:rPr>
              <w:t>,</w:t>
            </w:r>
            <w:r w:rsidRPr="00024AEC"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jc w:val="center"/>
            </w:pPr>
            <w:r w:rsidRPr="00024AEC">
              <w:t>6</w:t>
            </w:r>
            <w:r w:rsidR="00925541">
              <w:rPr>
                <w:lang w:val="en-US"/>
              </w:rPr>
              <w:t>,</w:t>
            </w:r>
            <w:r w:rsidRPr="00024AEC">
              <w:t>4</w:t>
            </w:r>
            <w:r w:rsidR="00925541">
              <w:rPr>
                <w:lang w:val="en-US"/>
              </w:rPr>
              <w:t> </w:t>
            </w:r>
            <w:r w:rsidR="00925541" w:rsidRPr="00024AEC">
              <w:rPr>
                <w:i/>
                <w:iCs/>
              </w:rPr>
              <w:t>±</w:t>
            </w:r>
            <w:r w:rsidR="00925541">
              <w:rPr>
                <w:i/>
                <w:iCs/>
                <w:lang w:val="en-US"/>
              </w:rPr>
              <w:t> </w:t>
            </w:r>
            <w:r w:rsidRPr="00024AEC">
              <w:t>0.8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38" w:rsidRPr="00024AEC" w:rsidRDefault="00A90B38" w:rsidP="00155DF3">
            <w:pPr>
              <w:keepNext/>
              <w:jc w:val="center"/>
            </w:pPr>
            <w:r w:rsidRPr="00024AEC">
              <w:t>6</w:t>
            </w:r>
            <w:r w:rsidR="00925541">
              <w:rPr>
                <w:lang w:val="en-US"/>
              </w:rPr>
              <w:t>,</w:t>
            </w:r>
            <w:r w:rsidRPr="00024AEC">
              <w:t>2</w:t>
            </w:r>
          </w:p>
        </w:tc>
      </w:tr>
    </w:tbl>
    <w:p w:rsidR="00580280" w:rsidRPr="00EB2C68" w:rsidRDefault="00C61F9B" w:rsidP="00A179D4">
      <w:pPr>
        <w:pStyle w:val="Zv-TitleReferences"/>
        <w:spacing w:before="80" w:after="80"/>
        <w:rPr>
          <w:lang w:val="en-US"/>
        </w:rPr>
      </w:pPr>
      <w:r w:rsidRPr="00887BD2">
        <w:t>Литература</w:t>
      </w:r>
    </w:p>
    <w:p w:rsidR="00C61F9B" w:rsidRPr="00443B24" w:rsidRDefault="00443B24" w:rsidP="00D43989">
      <w:pPr>
        <w:numPr>
          <w:ilvl w:val="0"/>
          <w:numId w:val="8"/>
        </w:numPr>
        <w:rPr>
          <w:lang w:val="en-US"/>
        </w:rPr>
      </w:pPr>
      <w:r w:rsidRPr="00443B24">
        <w:rPr>
          <w:lang w:val="en-US"/>
        </w:rPr>
        <w:t>Boedo J.A., et al,</w:t>
      </w:r>
      <w:r>
        <w:rPr>
          <w:lang w:val="en-US"/>
        </w:rPr>
        <w:t xml:space="preserve"> </w:t>
      </w:r>
      <w:r w:rsidRPr="00C73252">
        <w:rPr>
          <w:lang w:val="en-US"/>
        </w:rPr>
        <w:t>“</w:t>
      </w:r>
      <w:r w:rsidRPr="00443B24">
        <w:rPr>
          <w:lang w:val="en-US"/>
        </w:rPr>
        <w:t>On the harmonic technique to measure electron temperature with high time resolution</w:t>
      </w:r>
      <w:r w:rsidRPr="00C73252">
        <w:rPr>
          <w:lang w:val="en-US"/>
        </w:rPr>
        <w:t>”</w:t>
      </w:r>
      <w:r w:rsidRPr="00443B24">
        <w:rPr>
          <w:lang w:val="en-US"/>
        </w:rPr>
        <w:t xml:space="preserve">, Rev. Sci. Instrum. 70 </w:t>
      </w:r>
      <w:r>
        <w:rPr>
          <w:lang w:val="en-US"/>
        </w:rPr>
        <w:t>(1999)</w:t>
      </w:r>
      <w:r w:rsidRPr="00443B24">
        <w:rPr>
          <w:lang w:val="en-US"/>
        </w:rPr>
        <w:t xml:space="preserve"> 299</w:t>
      </w:r>
    </w:p>
    <w:p w:rsidR="00C61F9B" w:rsidRPr="00D80DF3" w:rsidRDefault="00443B24" w:rsidP="00D43989">
      <w:pPr>
        <w:numPr>
          <w:ilvl w:val="0"/>
          <w:numId w:val="8"/>
        </w:numPr>
        <w:rPr>
          <w:lang w:val="en-US"/>
        </w:rPr>
      </w:pPr>
      <w:bookmarkStart w:id="4" w:name="_Ref387664451"/>
      <w:bookmarkStart w:id="5" w:name="Goldston_Scailing12"/>
      <w:r w:rsidRPr="00443B24">
        <w:rPr>
          <w:lang w:val="en-US"/>
        </w:rPr>
        <w:t>Goldston R.J.</w:t>
      </w:r>
      <w:r>
        <w:rPr>
          <w:lang w:val="en-US"/>
        </w:rPr>
        <w:t>, “H</w:t>
      </w:r>
      <w:r w:rsidRPr="00443B24">
        <w:rPr>
          <w:lang w:val="en-US"/>
        </w:rPr>
        <w:t>euristic drift-based model of the power scrape-off width in low-gas-puff H-mode tokamaks</w:t>
      </w:r>
      <w:r>
        <w:rPr>
          <w:lang w:val="en-US"/>
        </w:rPr>
        <w:t>”,</w:t>
      </w:r>
      <w:r w:rsidRPr="00443B24">
        <w:rPr>
          <w:lang w:val="en-US"/>
        </w:rPr>
        <w:t xml:space="preserve"> Nucl. Fusion 52 (2012) 013009 (7pp)</w:t>
      </w:r>
      <w:bookmarkEnd w:id="4"/>
      <w:bookmarkEnd w:id="5"/>
    </w:p>
    <w:p w:rsidR="008B2A93" w:rsidRPr="00A179D4" w:rsidRDefault="00443B24" w:rsidP="00A179D4">
      <w:pPr>
        <w:widowControl w:val="0"/>
        <w:numPr>
          <w:ilvl w:val="0"/>
          <w:numId w:val="8"/>
        </w:numPr>
        <w:shd w:val="clear" w:color="auto" w:fill="FFFFFF"/>
        <w:rPr>
          <w:lang w:val="en-US"/>
        </w:rPr>
      </w:pPr>
      <w:bookmarkStart w:id="6" w:name="Eich_scaling"/>
      <w:r w:rsidRPr="00443B24">
        <w:rPr>
          <w:lang w:val="en-US"/>
        </w:rPr>
        <w:t>Eich T.</w:t>
      </w:r>
      <w:r>
        <w:rPr>
          <w:lang w:val="en-US"/>
        </w:rPr>
        <w:t>,</w:t>
      </w:r>
      <w:r w:rsidRPr="00443B24">
        <w:rPr>
          <w:lang w:val="en-US"/>
        </w:rPr>
        <w:t xml:space="preserve"> et al</w:t>
      </w:r>
      <w:r>
        <w:rPr>
          <w:lang w:val="en-US"/>
        </w:rPr>
        <w:t>,</w:t>
      </w:r>
      <w:r w:rsidRPr="00443B24">
        <w:rPr>
          <w:lang w:val="en-US"/>
        </w:rPr>
        <w:t xml:space="preserve"> </w:t>
      </w:r>
      <w:bookmarkEnd w:id="6"/>
      <w:r>
        <w:rPr>
          <w:lang w:val="en-US"/>
        </w:rPr>
        <w:t>“</w:t>
      </w:r>
      <w:r w:rsidRPr="00443B24">
        <w:rPr>
          <w:lang w:val="en-US"/>
        </w:rPr>
        <w:t>Inter-ELM Power Decay Length for JET and ASDEX Upgrade: Measurement and Comparison with Heuristic Drift-Based Model</w:t>
      </w:r>
      <w:r>
        <w:rPr>
          <w:lang w:val="en-US"/>
        </w:rPr>
        <w:t>”, P</w:t>
      </w:r>
      <w:r w:rsidRPr="00443B24">
        <w:rPr>
          <w:lang w:val="en-US"/>
        </w:rPr>
        <w:t>hysical review letters</w:t>
      </w:r>
      <w:r>
        <w:rPr>
          <w:lang w:val="en-US"/>
        </w:rPr>
        <w:t xml:space="preserve"> 107 2011 215001</w:t>
      </w:r>
    </w:p>
    <w:sectPr w:rsidR="008B2A93" w:rsidRPr="00A179D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28" w:rsidRDefault="00FC1D28">
      <w:r>
        <w:separator/>
      </w:r>
    </w:p>
  </w:endnote>
  <w:endnote w:type="continuationSeparator" w:id="0">
    <w:p w:rsidR="00FC1D28" w:rsidRDefault="00FC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FE" w:rsidRDefault="00DB4A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AFE" w:rsidRDefault="00DB4A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FE" w:rsidRDefault="00DB4A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9D4">
      <w:rPr>
        <w:rStyle w:val="a5"/>
        <w:noProof/>
      </w:rPr>
      <w:t>1</w:t>
    </w:r>
    <w:r>
      <w:rPr>
        <w:rStyle w:val="a5"/>
      </w:rPr>
      <w:fldChar w:fldCharType="end"/>
    </w:r>
  </w:p>
  <w:p w:rsidR="00DB4AFE" w:rsidRDefault="00DB4A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28" w:rsidRDefault="00FC1D28">
      <w:r>
        <w:separator/>
      </w:r>
    </w:p>
  </w:footnote>
  <w:footnote w:type="continuationSeparator" w:id="0">
    <w:p w:rsidR="00FC1D28" w:rsidRDefault="00FC1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FE" w:rsidRDefault="00DB4AF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B0178">
      <w:rPr>
        <w:sz w:val="20"/>
      </w:rPr>
      <w:t>8</w:t>
    </w:r>
    <w:r>
      <w:rPr>
        <w:sz w:val="20"/>
      </w:rPr>
      <w:t xml:space="preserve"> – 1</w:t>
    </w:r>
    <w:r w:rsidRPr="000B017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B017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B4AFE" w:rsidRDefault="00DB4AFE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5772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9B0EF176"/>
    <w:lvl w:ilvl="0" w:tplc="06263DD4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BA8"/>
    <w:rsid w:val="0001403E"/>
    <w:rsid w:val="00017302"/>
    <w:rsid w:val="00017EBE"/>
    <w:rsid w:val="0003522E"/>
    <w:rsid w:val="00037DCC"/>
    <w:rsid w:val="00043701"/>
    <w:rsid w:val="00054F3C"/>
    <w:rsid w:val="00092122"/>
    <w:rsid w:val="000B0178"/>
    <w:rsid w:val="000C7078"/>
    <w:rsid w:val="000D287C"/>
    <w:rsid w:val="000D76E9"/>
    <w:rsid w:val="000E0998"/>
    <w:rsid w:val="000E495B"/>
    <w:rsid w:val="000F5067"/>
    <w:rsid w:val="00107F16"/>
    <w:rsid w:val="00126E47"/>
    <w:rsid w:val="00133DAE"/>
    <w:rsid w:val="00155DF3"/>
    <w:rsid w:val="00162482"/>
    <w:rsid w:val="0016478A"/>
    <w:rsid w:val="00166EC8"/>
    <w:rsid w:val="001C0CCB"/>
    <w:rsid w:val="001C34FC"/>
    <w:rsid w:val="001D485E"/>
    <w:rsid w:val="00201BA8"/>
    <w:rsid w:val="002113D6"/>
    <w:rsid w:val="00217261"/>
    <w:rsid w:val="00220629"/>
    <w:rsid w:val="0024561F"/>
    <w:rsid w:val="00247225"/>
    <w:rsid w:val="0025058A"/>
    <w:rsid w:val="00296970"/>
    <w:rsid w:val="002C00DD"/>
    <w:rsid w:val="002E39A8"/>
    <w:rsid w:val="002E75E9"/>
    <w:rsid w:val="002F63BE"/>
    <w:rsid w:val="00307E79"/>
    <w:rsid w:val="0032259E"/>
    <w:rsid w:val="00333CC3"/>
    <w:rsid w:val="00350EC1"/>
    <w:rsid w:val="00366845"/>
    <w:rsid w:val="00375457"/>
    <w:rsid w:val="00376F11"/>
    <w:rsid w:val="003800F3"/>
    <w:rsid w:val="003808D9"/>
    <w:rsid w:val="003A767C"/>
    <w:rsid w:val="003B5B93"/>
    <w:rsid w:val="003C0818"/>
    <w:rsid w:val="003C1B47"/>
    <w:rsid w:val="003F2254"/>
    <w:rsid w:val="00401388"/>
    <w:rsid w:val="00415B2C"/>
    <w:rsid w:val="00440349"/>
    <w:rsid w:val="00443B24"/>
    <w:rsid w:val="00446025"/>
    <w:rsid w:val="00447ABC"/>
    <w:rsid w:val="00476B96"/>
    <w:rsid w:val="00486D89"/>
    <w:rsid w:val="00490268"/>
    <w:rsid w:val="004915E8"/>
    <w:rsid w:val="004A4372"/>
    <w:rsid w:val="004A77D1"/>
    <w:rsid w:val="004B3A6C"/>
    <w:rsid w:val="004B72AA"/>
    <w:rsid w:val="004C2BE0"/>
    <w:rsid w:val="004E263C"/>
    <w:rsid w:val="004E3712"/>
    <w:rsid w:val="004F4E29"/>
    <w:rsid w:val="0051553E"/>
    <w:rsid w:val="00525C1A"/>
    <w:rsid w:val="0053382C"/>
    <w:rsid w:val="005403B0"/>
    <w:rsid w:val="00567C6F"/>
    <w:rsid w:val="00580280"/>
    <w:rsid w:val="0058676C"/>
    <w:rsid w:val="00590CF2"/>
    <w:rsid w:val="00594DCA"/>
    <w:rsid w:val="005A03FB"/>
    <w:rsid w:val="005A272E"/>
    <w:rsid w:val="005B2B51"/>
    <w:rsid w:val="005C58BE"/>
    <w:rsid w:val="005D0A95"/>
    <w:rsid w:val="005D36E7"/>
    <w:rsid w:val="005D4C1B"/>
    <w:rsid w:val="0060530F"/>
    <w:rsid w:val="006058B8"/>
    <w:rsid w:val="006154EB"/>
    <w:rsid w:val="00615E36"/>
    <w:rsid w:val="006316C2"/>
    <w:rsid w:val="00654A7B"/>
    <w:rsid w:val="006A1F03"/>
    <w:rsid w:val="006B5938"/>
    <w:rsid w:val="006B70FF"/>
    <w:rsid w:val="006E268A"/>
    <w:rsid w:val="006E4253"/>
    <w:rsid w:val="006E4BAA"/>
    <w:rsid w:val="006F3BAB"/>
    <w:rsid w:val="00732A2E"/>
    <w:rsid w:val="00767573"/>
    <w:rsid w:val="007B36BD"/>
    <w:rsid w:val="007B6378"/>
    <w:rsid w:val="007B79B2"/>
    <w:rsid w:val="00802D35"/>
    <w:rsid w:val="00816973"/>
    <w:rsid w:val="00822517"/>
    <w:rsid w:val="0082603C"/>
    <w:rsid w:val="008459DA"/>
    <w:rsid w:val="00846B9F"/>
    <w:rsid w:val="008519DB"/>
    <w:rsid w:val="00880B9F"/>
    <w:rsid w:val="00887BD2"/>
    <w:rsid w:val="008B2A93"/>
    <w:rsid w:val="008B605B"/>
    <w:rsid w:val="00914B9B"/>
    <w:rsid w:val="00925541"/>
    <w:rsid w:val="009274BF"/>
    <w:rsid w:val="009315B4"/>
    <w:rsid w:val="00945FF3"/>
    <w:rsid w:val="00952BE4"/>
    <w:rsid w:val="00995D8F"/>
    <w:rsid w:val="009B6EE0"/>
    <w:rsid w:val="009F7866"/>
    <w:rsid w:val="00A034D7"/>
    <w:rsid w:val="00A079DD"/>
    <w:rsid w:val="00A177E9"/>
    <w:rsid w:val="00A179D4"/>
    <w:rsid w:val="00A26585"/>
    <w:rsid w:val="00A70A17"/>
    <w:rsid w:val="00A90B38"/>
    <w:rsid w:val="00A91D96"/>
    <w:rsid w:val="00AA0832"/>
    <w:rsid w:val="00AA4960"/>
    <w:rsid w:val="00AA7B75"/>
    <w:rsid w:val="00AB136F"/>
    <w:rsid w:val="00AB7712"/>
    <w:rsid w:val="00AC7B11"/>
    <w:rsid w:val="00AE5EA7"/>
    <w:rsid w:val="00AF1286"/>
    <w:rsid w:val="00B05477"/>
    <w:rsid w:val="00B114ED"/>
    <w:rsid w:val="00B16696"/>
    <w:rsid w:val="00B203CB"/>
    <w:rsid w:val="00B22DCA"/>
    <w:rsid w:val="00B622ED"/>
    <w:rsid w:val="00B6678C"/>
    <w:rsid w:val="00B679D6"/>
    <w:rsid w:val="00B72789"/>
    <w:rsid w:val="00B81446"/>
    <w:rsid w:val="00B9584E"/>
    <w:rsid w:val="00BC5128"/>
    <w:rsid w:val="00BE54B9"/>
    <w:rsid w:val="00BF7B09"/>
    <w:rsid w:val="00C043BE"/>
    <w:rsid w:val="00C103CD"/>
    <w:rsid w:val="00C1230F"/>
    <w:rsid w:val="00C16E62"/>
    <w:rsid w:val="00C232A0"/>
    <w:rsid w:val="00C30F81"/>
    <w:rsid w:val="00C52886"/>
    <w:rsid w:val="00C61F9B"/>
    <w:rsid w:val="00CA2243"/>
    <w:rsid w:val="00CB470C"/>
    <w:rsid w:val="00CC7006"/>
    <w:rsid w:val="00D13134"/>
    <w:rsid w:val="00D43989"/>
    <w:rsid w:val="00D47F19"/>
    <w:rsid w:val="00D63407"/>
    <w:rsid w:val="00D80DF3"/>
    <w:rsid w:val="00D94D11"/>
    <w:rsid w:val="00D95867"/>
    <w:rsid w:val="00DA700D"/>
    <w:rsid w:val="00DB4AFE"/>
    <w:rsid w:val="00DD2B8C"/>
    <w:rsid w:val="00DD54D5"/>
    <w:rsid w:val="00DD6158"/>
    <w:rsid w:val="00DD7091"/>
    <w:rsid w:val="00DE7279"/>
    <w:rsid w:val="00E10199"/>
    <w:rsid w:val="00E1331D"/>
    <w:rsid w:val="00E26E46"/>
    <w:rsid w:val="00E30ABE"/>
    <w:rsid w:val="00E4020F"/>
    <w:rsid w:val="00E545BC"/>
    <w:rsid w:val="00E7021A"/>
    <w:rsid w:val="00E87733"/>
    <w:rsid w:val="00E90FCC"/>
    <w:rsid w:val="00EB2C35"/>
    <w:rsid w:val="00EB2C68"/>
    <w:rsid w:val="00F01F31"/>
    <w:rsid w:val="00F05887"/>
    <w:rsid w:val="00F515D7"/>
    <w:rsid w:val="00F527DF"/>
    <w:rsid w:val="00F610EE"/>
    <w:rsid w:val="00F65364"/>
    <w:rsid w:val="00F67CC5"/>
    <w:rsid w:val="00F74399"/>
    <w:rsid w:val="00F778A2"/>
    <w:rsid w:val="00F83B16"/>
    <w:rsid w:val="00F86F02"/>
    <w:rsid w:val="00F95123"/>
    <w:rsid w:val="00F96F4C"/>
    <w:rsid w:val="00FA0BE9"/>
    <w:rsid w:val="00FB1155"/>
    <w:rsid w:val="00FC167B"/>
    <w:rsid w:val="00FC1D28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rsid w:val="00E7021A"/>
  </w:style>
  <w:style w:type="character" w:styleId="a7">
    <w:name w:val="Hyperlink"/>
    <w:rsid w:val="00201BA8"/>
    <w:rPr>
      <w:rFonts w:cs="Times New Roman"/>
      <w:color w:val="0000FF"/>
      <w:u w:val="single"/>
    </w:rPr>
  </w:style>
  <w:style w:type="character" w:customStyle="1" w:styleId="val">
    <w:name w:val="val"/>
    <w:rsid w:val="00201BA8"/>
  </w:style>
  <w:style w:type="paragraph" w:customStyle="1" w:styleId="Default">
    <w:name w:val="Default"/>
    <w:rsid w:val="007675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Zv-TitleReferences">
    <w:name w:val="Zv-Title_References"/>
    <w:basedOn w:val="a6"/>
    <w:rsid w:val="00D43989"/>
    <w:pPr>
      <w:spacing w:before="120"/>
    </w:pPr>
    <w:rPr>
      <w:b/>
      <w:bCs/>
      <w:szCs w:val="20"/>
      <w:lang w:eastAsia="en-US"/>
    </w:rPr>
  </w:style>
  <w:style w:type="character" w:styleId="a8">
    <w:name w:val="annotation reference"/>
    <w:rsid w:val="002E75E9"/>
    <w:rPr>
      <w:rFonts w:cs="Times New Roman"/>
      <w:sz w:val="16"/>
      <w:szCs w:val="16"/>
    </w:rPr>
  </w:style>
  <w:style w:type="paragraph" w:styleId="a9">
    <w:name w:val="annotation text"/>
    <w:basedOn w:val="a"/>
    <w:link w:val="aa"/>
    <w:rsid w:val="002E75E9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2E75E9"/>
    <w:rPr>
      <w:rFonts w:cs="Times New Roman"/>
    </w:rPr>
  </w:style>
  <w:style w:type="paragraph" w:styleId="ab">
    <w:name w:val="annotation subject"/>
    <w:basedOn w:val="a9"/>
    <w:next w:val="a9"/>
    <w:link w:val="ac"/>
    <w:rsid w:val="002E75E9"/>
    <w:rPr>
      <w:b/>
      <w:bCs/>
    </w:rPr>
  </w:style>
  <w:style w:type="character" w:customStyle="1" w:styleId="ac">
    <w:name w:val="Тема примечания Знак"/>
    <w:link w:val="ab"/>
    <w:locked/>
    <w:rsid w:val="002E75E9"/>
    <w:rPr>
      <w:rFonts w:cs="Times New Roman"/>
      <w:b/>
      <w:bCs/>
    </w:rPr>
  </w:style>
  <w:style w:type="paragraph" w:styleId="ad">
    <w:name w:val="Balloon Text"/>
    <w:basedOn w:val="a"/>
    <w:link w:val="ae"/>
    <w:rsid w:val="002E75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2E75E9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822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ntin.Tokarev@mail.ioff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pc\Downloads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КОМПЛЕКСА НЕЙТРАЛЬНОЙ ИНЖЕКЦИИ К ЭКСПЕРИМЕНТАМ НА СФЕРИЧЕСКОМ ТОКАМАКЕ ГЛОБУС-М2</vt:lpstr>
    </vt:vector>
  </TitlesOfParts>
  <Company>k13</Company>
  <LinksUpToDate>false</LinksUpToDate>
  <CharactersWithSpaces>3052</CharactersWithSpaces>
  <SharedDoc>false</SharedDoc>
  <HLinks>
    <vt:vector size="60" baseType="variant">
      <vt:variant>
        <vt:i4>2883585</vt:i4>
      </vt:variant>
      <vt:variant>
        <vt:i4>33</vt:i4>
      </vt:variant>
      <vt:variant>
        <vt:i4>0</vt:i4>
      </vt:variant>
      <vt:variant>
        <vt:i4>5</vt:i4>
      </vt:variant>
      <vt:variant>
        <vt:lpwstr>mailto:Yu.Petrov@mail.ioffe.ru</vt:lpwstr>
      </vt:variant>
      <vt:variant>
        <vt:lpwstr/>
      </vt:variant>
      <vt:variant>
        <vt:i4>6226024</vt:i4>
      </vt:variant>
      <vt:variant>
        <vt:i4>30</vt:i4>
      </vt:variant>
      <vt:variant>
        <vt:i4>0</vt:i4>
      </vt:variant>
      <vt:variant>
        <vt:i4>5</vt:i4>
      </vt:variant>
      <vt:variant>
        <vt:lpwstr>mailto:michael.patrov@mail.ioffe.ru</vt:lpwstr>
      </vt:variant>
      <vt:variant>
        <vt:lpwstr/>
      </vt:variant>
      <vt:variant>
        <vt:i4>524350</vt:i4>
      </vt:variant>
      <vt:variant>
        <vt:i4>27</vt:i4>
      </vt:variant>
      <vt:variant>
        <vt:i4>0</vt:i4>
      </vt:variant>
      <vt:variant>
        <vt:i4>5</vt:i4>
      </vt:variant>
      <vt:variant>
        <vt:lpwstr>mailto:Nikolay.Khromov@mail.ioffe.ru</vt:lpwstr>
      </vt:variant>
      <vt:variant>
        <vt:lpwstr/>
      </vt:variant>
      <vt:variant>
        <vt:i4>6291540</vt:i4>
      </vt:variant>
      <vt:variant>
        <vt:i4>24</vt:i4>
      </vt:variant>
      <vt:variant>
        <vt:i4>0</vt:i4>
      </vt:variant>
      <vt:variant>
        <vt:i4>5</vt:i4>
      </vt:variant>
      <vt:variant>
        <vt:lpwstr>mailto:Vasily.Gusev@mail.ioffe.ru</vt:lpwstr>
      </vt:variant>
      <vt:variant>
        <vt:lpwstr/>
      </vt:variant>
      <vt:variant>
        <vt:i4>7274562</vt:i4>
      </vt:variant>
      <vt:variant>
        <vt:i4>21</vt:i4>
      </vt:variant>
      <vt:variant>
        <vt:i4>0</vt:i4>
      </vt:variant>
      <vt:variant>
        <vt:i4>5</vt:i4>
      </vt:variant>
      <vt:variant>
        <vt:lpwstr>mailto:Valentin.Tokarev@mail.ioffe.ru</vt:lpwstr>
      </vt:variant>
      <vt:variant>
        <vt:lpwstr/>
      </vt:variant>
      <vt:variant>
        <vt:i4>2883585</vt:i4>
      </vt:variant>
      <vt:variant>
        <vt:i4>18</vt:i4>
      </vt:variant>
      <vt:variant>
        <vt:i4>0</vt:i4>
      </vt:variant>
      <vt:variant>
        <vt:i4>5</vt:i4>
      </vt:variant>
      <vt:variant>
        <vt:lpwstr>mailto:Yu.Petrov@mail.ioffe.ru</vt:lpwstr>
      </vt:variant>
      <vt:variant>
        <vt:lpwstr/>
      </vt:variant>
      <vt:variant>
        <vt:i4>6226024</vt:i4>
      </vt:variant>
      <vt:variant>
        <vt:i4>15</vt:i4>
      </vt:variant>
      <vt:variant>
        <vt:i4>0</vt:i4>
      </vt:variant>
      <vt:variant>
        <vt:i4>5</vt:i4>
      </vt:variant>
      <vt:variant>
        <vt:lpwstr>mailto:michael.patrov@mail.ioffe.ru</vt:lpwstr>
      </vt:variant>
      <vt:variant>
        <vt:lpwstr/>
      </vt:variant>
      <vt:variant>
        <vt:i4>524350</vt:i4>
      </vt:variant>
      <vt:variant>
        <vt:i4>12</vt:i4>
      </vt:variant>
      <vt:variant>
        <vt:i4>0</vt:i4>
      </vt:variant>
      <vt:variant>
        <vt:i4>5</vt:i4>
      </vt:variant>
      <vt:variant>
        <vt:lpwstr>mailto:Nikolay.Khromov@mail.ioffe.ru</vt:lpwstr>
      </vt:variant>
      <vt:variant>
        <vt:lpwstr/>
      </vt:variant>
      <vt:variant>
        <vt:i4>6291540</vt:i4>
      </vt:variant>
      <vt:variant>
        <vt:i4>9</vt:i4>
      </vt:variant>
      <vt:variant>
        <vt:i4>0</vt:i4>
      </vt:variant>
      <vt:variant>
        <vt:i4>5</vt:i4>
      </vt:variant>
      <vt:variant>
        <vt:lpwstr>mailto:Vasily.Gusev@mail.ioffe.ru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mailto:Valentin.Tokarev@mail.ioffe.ru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периферийной плазмы токамака глобус-м с помощью Подвижного зонда</dc:title>
  <dc:subject/>
  <dc:creator>user-pc</dc:creator>
  <cp:keywords/>
  <cp:lastModifiedBy>Сергей Сатунин</cp:lastModifiedBy>
  <cp:revision>2</cp:revision>
  <cp:lastPrinted>2015-11-18T12:36:00Z</cp:lastPrinted>
  <dcterms:created xsi:type="dcterms:W3CDTF">2016-01-17T12:33:00Z</dcterms:created>
  <dcterms:modified xsi:type="dcterms:W3CDTF">2016-01-17T12:33:00Z</dcterms:modified>
</cp:coreProperties>
</file>