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2D" w:rsidRDefault="001A5D2D" w:rsidP="00550C9E">
      <w:pPr>
        <w:pStyle w:val="Zv-Titlereport"/>
        <w:ind w:left="426" w:right="424"/>
      </w:pPr>
      <w:bookmarkStart w:id="0" w:name="OLE_LINK17"/>
      <w:bookmarkStart w:id="1" w:name="OLE_LINK18"/>
      <w:r>
        <w:t>Глобальные геодезические акустические моды в токамаке в рамках двужидкостной мГД</w:t>
      </w:r>
      <w:bookmarkEnd w:id="0"/>
      <w:bookmarkEnd w:id="1"/>
    </w:p>
    <w:p w:rsidR="001A5D2D" w:rsidRPr="00CD7E7B" w:rsidRDefault="001A5D2D" w:rsidP="001D4197">
      <w:pPr>
        <w:pStyle w:val="Zv-Author"/>
      </w:pPr>
      <w:r w:rsidRPr="00CD7E7B">
        <w:t>И.В. Хальзов</w:t>
      </w:r>
    </w:p>
    <w:p w:rsidR="001A5D2D" w:rsidRPr="00550C9E" w:rsidRDefault="001A5D2D" w:rsidP="001D4197">
      <w:pPr>
        <w:pStyle w:val="Zv-Organization"/>
      </w:pPr>
      <w:r>
        <w:t xml:space="preserve">НИЦ </w:t>
      </w:r>
      <w:r w:rsidRPr="00C32E75">
        <w:t>"</w:t>
      </w:r>
      <w:r>
        <w:t>Курчатовский институт</w:t>
      </w:r>
      <w:r w:rsidRPr="00C32E75">
        <w:t>"</w:t>
      </w:r>
      <w:r>
        <w:t xml:space="preserve">, </w:t>
      </w:r>
      <w:r w:rsidR="008148EF">
        <w:t xml:space="preserve">г. </w:t>
      </w:r>
      <w:r>
        <w:t xml:space="preserve">Москва, Россия, </w:t>
      </w:r>
      <w:hyperlink r:id="rId7" w:history="1">
        <w:r w:rsidR="00550C9E" w:rsidRPr="00942664">
          <w:rPr>
            <w:rStyle w:val="ac"/>
            <w:lang w:val="en-US"/>
          </w:rPr>
          <w:t>halzovi</w:t>
        </w:r>
        <w:r w:rsidR="00550C9E" w:rsidRPr="00942664">
          <w:rPr>
            <w:rStyle w:val="ac"/>
          </w:rPr>
          <w:t>@</w:t>
        </w:r>
        <w:r w:rsidR="00550C9E" w:rsidRPr="00942664">
          <w:rPr>
            <w:rStyle w:val="ac"/>
            <w:lang w:val="en-US"/>
          </w:rPr>
          <w:t>mail</w:t>
        </w:r>
        <w:r w:rsidR="00550C9E" w:rsidRPr="00942664">
          <w:rPr>
            <w:rStyle w:val="ac"/>
          </w:rPr>
          <w:t>.</w:t>
        </w:r>
        <w:r w:rsidR="00550C9E" w:rsidRPr="00942664">
          <w:rPr>
            <w:rStyle w:val="ac"/>
            <w:lang w:val="en-US"/>
          </w:rPr>
          <w:t>ru</w:t>
        </w:r>
      </w:hyperlink>
    </w:p>
    <w:p w:rsidR="001A5D2D" w:rsidRDefault="001A5D2D" w:rsidP="001D4197">
      <w:pPr>
        <w:pStyle w:val="Zv-bodyreport"/>
      </w:pPr>
      <w:r>
        <w:t xml:space="preserve">Геодезические акустические моды (ГАМ) </w:t>
      </w:r>
      <w:r w:rsidR="008148EF">
        <w:t>—</w:t>
      </w:r>
      <w:r>
        <w:t xml:space="preserve"> низкочастотные электростатические осцилляции, наблюдаемые на многих токамаках как в омических, так и в </w:t>
      </w:r>
      <w:r>
        <w:rPr>
          <w:lang w:val="en-US"/>
        </w:rPr>
        <w:t>L</w:t>
      </w:r>
      <w:r>
        <w:t xml:space="preserve">-режимах </w:t>
      </w:r>
      <w:r w:rsidRPr="008C1909">
        <w:t>[</w:t>
      </w:r>
      <w:r>
        <w:t>1</w:t>
      </w:r>
      <w:r w:rsidRPr="008C1909">
        <w:t>]</w:t>
      </w:r>
      <w:r>
        <w:t>. Считается, что ГАМ играют важную роль в турбулентном транспорте в токамаках, к тому же ГАМ могут использоваться для МГД спектроскопии плазмы. Этим объясняется повышенный интерес к изучению ГАМ. Одна из важных особенностей экспериментально наблюдаемых ГАМ заключается в их глобальном характере, т.е. данные осцилляции обладают определенной частотой во всем объеме плазмы. В рамках идеальной одножидкостной МГД глобальные ГАМ были найдены численно [2</w:t>
      </w:r>
      <w:r w:rsidRPr="001727CF">
        <w:t xml:space="preserve">] </w:t>
      </w:r>
      <w:r>
        <w:t xml:space="preserve">и аналитически </w:t>
      </w:r>
      <w:r w:rsidRPr="00DA1324">
        <w:t>[</w:t>
      </w:r>
      <w:r>
        <w:t>3</w:t>
      </w:r>
      <w:r w:rsidRPr="00DA1324">
        <w:t>]</w:t>
      </w:r>
      <w:r>
        <w:t xml:space="preserve"> для плазмы со специфическими профилями температуры и магнитного поля, не вполне соответствующими обычным условиям экспериментов. Однако удовлетворительной теории, объясняющей глобальность ГАМ для типичных профилей экспериментальных разрядов, до сих пор не построено. </w:t>
      </w:r>
    </w:p>
    <w:p w:rsidR="00550C9E" w:rsidRPr="00550C9E" w:rsidRDefault="001A5D2D" w:rsidP="004718F8">
      <w:pPr>
        <w:pStyle w:val="Zv-formula"/>
      </w:pPr>
      <w:r>
        <w:t>В данной работе глобальные ГАМ исследованы в рамках двужидкостной МГД. Показано, что для токамака с большим аспектным отношением, холодными ионами и круглыми концентрическими магнитными поверхностями низкочастотные осесимметричные колебания электронного давления</w:t>
      </w:r>
      <w:r w:rsidRPr="00B62DCD">
        <w:t xml:space="preserve"> </w:t>
      </w:r>
      <m:oMath>
        <m:acc>
          <m:accPr>
            <m:chr m:val="̃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</m:oMath>
      <w:r>
        <w:t xml:space="preserve"> описываются уравнением</w:t>
      </w:r>
      <w:r w:rsidRPr="00B62DCD">
        <w:t>:</w:t>
      </w:r>
    </w:p>
    <w:p w:rsidR="001A5D2D" w:rsidRPr="00550C9E" w:rsidRDefault="00F635DC" w:rsidP="00550C9E">
      <w:pPr>
        <w:pStyle w:val="Zv-formula"/>
        <w:jc w:val="center"/>
        <w:rPr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ω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p>
          </m:sSup>
          <m:acc>
            <m:accPr>
              <m:chr m:val="̃"/>
              <m:ctrlPr>
                <w:rPr>
                  <w:rFonts w:ascii="Cambria Math" w:hAnsi="Cambria Math"/>
                  <w:lang w:val="en-US"/>
                </w:rPr>
              </m:ctrlPr>
            </m:acc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</m:acc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r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)</m:t>
              </m:r>
            </m:num>
            <m:den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θ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q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(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)</m:t>
                      </m:r>
                    </m:den>
                  </m:f>
                </m:e>
              </m:func>
              <m:sSubSup>
                <m:sSubSupPr>
                  <m:ctrlPr>
                    <w:rPr>
                      <w:rFonts w:ascii="Cambria Math" w:hAnsi="Cambria Math"/>
                      <w:lang w:val="en-US"/>
                    </w:rPr>
                  </m:ctrlPr>
                </m:sSubSup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θθ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''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-2</m:t>
              </m:r>
              <m:r>
                <w:rPr>
                  <w:rFonts w:ascii="Cambria Math" w:hAnsi="Cambria Math"/>
                  <w:lang w:val="en-US"/>
                </w:rPr>
                <m:t>iω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ci</m:t>
                      </m:r>
                    </m:sub>
                  </m:sSub>
                </m:den>
              </m:f>
              <m:d>
                <m:dPr>
                  <m:ctrlPr>
                    <w:rPr>
                      <w:rFonts w:ascii="Cambria Math" w:hAnsi="Cambria Math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Sup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p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θ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'</m:t>
                      </m:r>
                    </m:sup>
                  </m:sSubSup>
                  <m:func>
                    <m:func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θ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US"/>
                        </w:rPr>
                        <m:t>+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r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sSubSupPr>
                        <m:e>
                          <m:acc>
                            <m:accPr>
                              <m:chr m:val="̃"/>
                              <m:ctrlPr>
                                <w:rPr>
                                  <w:rFonts w:ascii="Cambria Math" w:hAnsi="Cambria Math"/>
                                  <w:lang w:val="en-US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p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r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'</m:t>
                          </m:r>
                        </m:sup>
                      </m:sSubSup>
                      <m:func>
                        <m:funcPr>
                          <m:ctrlPr>
                            <w:rPr>
                              <w:rFonts w:ascii="Cambria Math" w:hAnsi="Cambria Math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lang w:val="en-US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θ</m:t>
                          </m:r>
                        </m:e>
                      </m:func>
                    </m:e>
                  </m:func>
                </m:e>
              </m:d>
            </m:e>
          </m:d>
          <m:r>
            <m:rPr>
              <m:sty m:val="p"/>
            </m:rPr>
            <w:rPr>
              <w:rFonts w:ascii="Cambria Math" w:hAnsi="Cambria Math"/>
              <w:lang w:val="en-US"/>
            </w:rPr>
            <m:t>.               (</m:t>
          </m:r>
          <m:r>
            <w:rPr>
              <w:rFonts w:ascii="Cambria Math" w:hAnsi="Cambria Math"/>
              <w:lang w:val="en-US"/>
            </w:rPr>
            <m:t>1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)</m:t>
          </m:r>
        </m:oMath>
      </m:oMathPara>
    </w:p>
    <w:p w:rsidR="00AD5813" w:rsidRPr="00550C9E" w:rsidRDefault="001A5D2D" w:rsidP="008148EF">
      <w:pPr>
        <w:pStyle w:val="Zv-bodyreportcont"/>
      </w:pPr>
      <w:r>
        <w:t xml:space="preserve">Здесь </w:t>
      </w:r>
      <m:oMath>
        <m:r>
          <w:rPr>
            <w:rFonts w:ascii="Cambria Math" w:hAnsi="Cambria Math"/>
          </w:rPr>
          <m:t>ω</m:t>
        </m:r>
      </m:oMath>
      <w:r w:rsidRPr="00A835C8">
        <w:t xml:space="preserve"> </w:t>
      </w:r>
      <w:r w:rsidR="008148EF">
        <w:t>—</w:t>
      </w:r>
      <w:r w:rsidRPr="00A835C8">
        <w:t xml:space="preserve"> </w:t>
      </w:r>
      <w:r>
        <w:t xml:space="preserve">собственная частота колебаний,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Pr="00A835C8">
        <w:t xml:space="preserve"> </w:t>
      </w:r>
      <w:r>
        <w:t>–</w:t>
      </w:r>
      <w:r w:rsidRPr="00A835C8">
        <w:t xml:space="preserve"> </w:t>
      </w:r>
      <w:r>
        <w:t xml:space="preserve">скорость звука,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A835C8">
        <w:t xml:space="preserve"> </w:t>
      </w:r>
      <w:r>
        <w:t>–</w:t>
      </w:r>
      <w:r w:rsidRPr="00A835C8">
        <w:t xml:space="preserve"> </w:t>
      </w:r>
      <w:r>
        <w:t xml:space="preserve">большой радиус, </w:t>
      </w:r>
      <m:oMath>
        <m:r>
          <w:rPr>
            <w:rFonts w:ascii="Cambria Math" w:hAnsi="Cambria Math"/>
          </w:rPr>
          <m:t>q</m:t>
        </m:r>
      </m:oMath>
      <w:r w:rsidR="008148EF">
        <w:t>—</w:t>
      </w:r>
      <w:r w:rsidRPr="006864F6">
        <w:t xml:space="preserve"> </w:t>
      </w:r>
      <w:r>
        <w:t xml:space="preserve">запас устойчивости,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Ω</m:t>
            </m:r>
          </m:e>
          <m:sub>
            <m:r>
              <w:rPr>
                <w:rFonts w:ascii="Cambria Math" w:hAnsi="Cambria Math"/>
                <w:lang w:val="en-US"/>
              </w:rPr>
              <m:t>ci</m:t>
            </m:r>
          </m:sub>
        </m:sSub>
      </m:oMath>
      <w:r>
        <w:t xml:space="preserve"> </w:t>
      </w:r>
      <w:r w:rsidR="008148EF">
        <w:t>—</w:t>
      </w:r>
      <w:r>
        <w:t xml:space="preserve"> ионная ларморовская частота на магнитной оси,</w:t>
      </w:r>
      <w:r w:rsidRPr="00281DCF">
        <w:t xml:space="preserve"> </w:t>
      </w:r>
      <m:oMath>
        <m:r>
          <w:rPr>
            <w:rFonts w:ascii="Cambria Math" w:hAnsi="Cambria Math"/>
          </w:rPr>
          <m:t>r</m:t>
        </m:r>
      </m:oMath>
      <w:r>
        <w:t xml:space="preserve"> </w:t>
      </w:r>
      <w:r w:rsidR="008148EF">
        <w:t>—</w:t>
      </w:r>
      <w:r>
        <w:t xml:space="preserve"> радиальная координата, </w:t>
      </w:r>
      <m:oMath>
        <m:r>
          <w:rPr>
            <w:rFonts w:ascii="Cambria Math" w:hAnsi="Cambria Math"/>
          </w:rPr>
          <m:t>θ</m:t>
        </m:r>
      </m:oMath>
      <w:r w:rsidR="008148EF">
        <w:t>—</w:t>
      </w:r>
      <w:r>
        <w:t xml:space="preserve"> полоидальный угол</w:t>
      </w:r>
      <w:bookmarkStart w:id="2" w:name="_GoBack"/>
      <w:bookmarkEnd w:id="2"/>
      <w:r>
        <w:t>.</w:t>
      </w:r>
      <w:r w:rsidRPr="00EC79E4">
        <w:t xml:space="preserve"> </w:t>
      </w:r>
      <w:r>
        <w:t xml:space="preserve">Член линейный по </w:t>
      </w:r>
      <m:oMath>
        <m:r>
          <w:rPr>
            <w:rFonts w:ascii="Cambria Math" w:hAnsi="Cambria Math"/>
          </w:rPr>
          <m:t>ω</m:t>
        </m:r>
      </m:oMath>
      <w:r w:rsidRPr="00256260">
        <w:t xml:space="preserve"> </w:t>
      </w:r>
      <w:r>
        <w:t>обусловлен учетом двужидкостности, он отвечает за зацепление полоидальных гармоник и глобальность собственных мод.  Уравнение (1) было решено</w:t>
      </w:r>
      <w:r w:rsidRPr="00F2577B">
        <w:t xml:space="preserve"> </w:t>
      </w:r>
      <w:r>
        <w:t xml:space="preserve">численно для типичных экспериментальных профилей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C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  <m:r>
          <m:rPr>
            <m:sty m:val="p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r</m:t>
        </m:r>
        <m:r>
          <m:rPr>
            <m:sty m:val="p"/>
          </m:rPr>
          <w:rPr>
            <w:rFonts w:ascii="Cambria Math" w:hAnsi="Cambria Math"/>
          </w:rPr>
          <m:t>)</m:t>
        </m:r>
      </m:oMath>
      <w:r w:rsidRPr="009C3799">
        <w:t xml:space="preserve"> </w:t>
      </w:r>
      <w:r>
        <w:t xml:space="preserve">и </w:t>
      </w:r>
      <m:oMath>
        <m:r>
          <w:rPr>
            <w:rFonts w:ascii="Cambria Math" w:hAnsi="Cambria Math"/>
          </w:rPr>
          <m:t>q(r)</m:t>
        </m:r>
      </m:oMath>
      <w:r>
        <w:t xml:space="preserve">. Найденные собственные частоты </w:t>
      </w:r>
      <m:oMath>
        <m:r>
          <w:rPr>
            <w:rFonts w:ascii="Cambria Math" w:hAnsi="Cambria Math"/>
          </w:rPr>
          <m:t>ω</m:t>
        </m:r>
      </m:oMath>
      <w:r>
        <w:t xml:space="preserve">, соответствующие собственным решениям уравнения (1), всегда действительны и образуют дискретный спектр, что характерно для глобальных мод. Результаты расчетов хорошо согласуются с имеющимися экспериментальными данными. </w:t>
      </w:r>
    </w:p>
    <w:p w:rsidR="001A5D2D" w:rsidRDefault="001A5D2D" w:rsidP="00AD5813">
      <w:pPr>
        <w:pStyle w:val="Zv-bodyreport"/>
      </w:pPr>
      <w:r>
        <w:t>Работа поддержана Российским научным фондом (проект  14-22-00193).</w:t>
      </w:r>
    </w:p>
    <w:p w:rsidR="001A5D2D" w:rsidRDefault="008148EF" w:rsidP="004718F8">
      <w:pPr>
        <w:pStyle w:val="Zv-TitleReferences-ru"/>
      </w:pPr>
      <w:r>
        <w:t>Литература</w:t>
      </w:r>
    </w:p>
    <w:p w:rsidR="001A5D2D" w:rsidRDefault="001A5D2D" w:rsidP="004718F8">
      <w:pPr>
        <w:pStyle w:val="Zv-References-ru"/>
        <w:numPr>
          <w:ilvl w:val="0"/>
          <w:numId w:val="1"/>
        </w:numPr>
        <w:jc w:val="both"/>
      </w:pPr>
      <w:r>
        <w:t>Мельников А.В., Елисеев Л</w:t>
      </w:r>
      <w:r w:rsidRPr="00311C81">
        <w:t>.</w:t>
      </w:r>
      <w:r>
        <w:t xml:space="preserve">Г., Лысенко С.Е., Перфилов С.В., Шурыгин Р.В., </w:t>
      </w:r>
      <w:r w:rsidRPr="00160781">
        <w:t>Крупник</w:t>
      </w:r>
      <w:r>
        <w:rPr>
          <w:lang w:val="en-US"/>
        </w:rPr>
        <w:t> </w:t>
      </w:r>
      <w:r w:rsidRPr="00160781">
        <w:t>Л</w:t>
      </w:r>
      <w:r>
        <w:t xml:space="preserve">.И., Козачок А.С., Смоляков А.И. Письма в ЖЭТФ,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., т. 100, стр. 633.</w:t>
      </w:r>
    </w:p>
    <w:p w:rsidR="001A5D2D" w:rsidRPr="00311C81" w:rsidRDefault="001A5D2D" w:rsidP="004718F8">
      <w:pPr>
        <w:pStyle w:val="Zv-References-ru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Boswell</w:t>
      </w:r>
      <w:r w:rsidRPr="00311C81">
        <w:rPr>
          <w:lang w:val="en-US"/>
        </w:rPr>
        <w:t xml:space="preserve"> </w:t>
      </w:r>
      <w:r>
        <w:rPr>
          <w:lang w:val="en-US"/>
        </w:rPr>
        <w:t>C</w:t>
      </w:r>
      <w:r w:rsidRPr="00311C81">
        <w:rPr>
          <w:lang w:val="en-US"/>
        </w:rPr>
        <w:t>.</w:t>
      </w:r>
      <w:r>
        <w:rPr>
          <w:lang w:val="en-US"/>
        </w:rPr>
        <w:t>J</w:t>
      </w:r>
      <w:r w:rsidRPr="00311C81">
        <w:rPr>
          <w:lang w:val="en-US"/>
        </w:rPr>
        <w:t xml:space="preserve">., </w:t>
      </w:r>
      <w:r>
        <w:rPr>
          <w:lang w:val="en-US"/>
        </w:rPr>
        <w:t>Berk</w:t>
      </w:r>
      <w:r w:rsidRPr="00311C81">
        <w:rPr>
          <w:lang w:val="en-US"/>
        </w:rPr>
        <w:t xml:space="preserve"> </w:t>
      </w:r>
      <w:r>
        <w:rPr>
          <w:lang w:val="en-US"/>
        </w:rPr>
        <w:t>H</w:t>
      </w:r>
      <w:r w:rsidRPr="00311C81">
        <w:rPr>
          <w:lang w:val="en-US"/>
        </w:rPr>
        <w:t>.</w:t>
      </w:r>
      <w:r>
        <w:rPr>
          <w:lang w:val="en-US"/>
        </w:rPr>
        <w:t>L</w:t>
      </w:r>
      <w:r w:rsidRPr="00311C81">
        <w:rPr>
          <w:lang w:val="en-US"/>
        </w:rPr>
        <w:t xml:space="preserve">., </w:t>
      </w:r>
      <w:r>
        <w:rPr>
          <w:lang w:val="en-US"/>
        </w:rPr>
        <w:t>Borba</w:t>
      </w:r>
      <w:r w:rsidRPr="00311C81">
        <w:rPr>
          <w:lang w:val="en-US"/>
        </w:rPr>
        <w:t xml:space="preserve"> </w:t>
      </w:r>
      <w:r>
        <w:rPr>
          <w:lang w:val="en-US"/>
        </w:rPr>
        <w:t>D</w:t>
      </w:r>
      <w:r w:rsidRPr="00311C81">
        <w:rPr>
          <w:lang w:val="en-US"/>
        </w:rPr>
        <w:t>.</w:t>
      </w:r>
      <w:r>
        <w:rPr>
          <w:lang w:val="en-US"/>
        </w:rPr>
        <w:t>N</w:t>
      </w:r>
      <w:r w:rsidRPr="00311C81">
        <w:rPr>
          <w:lang w:val="en-US"/>
        </w:rPr>
        <w:t xml:space="preserve">., </w:t>
      </w:r>
      <w:r>
        <w:rPr>
          <w:lang w:val="en-US"/>
        </w:rPr>
        <w:t>Johnson</w:t>
      </w:r>
      <w:r w:rsidRPr="00311C81">
        <w:rPr>
          <w:lang w:val="en-US"/>
        </w:rPr>
        <w:t xml:space="preserve"> </w:t>
      </w:r>
      <w:r>
        <w:rPr>
          <w:lang w:val="en-US"/>
        </w:rPr>
        <w:t>T</w:t>
      </w:r>
      <w:r w:rsidRPr="00311C81">
        <w:rPr>
          <w:lang w:val="en-US"/>
        </w:rPr>
        <w:t xml:space="preserve">., </w:t>
      </w:r>
      <w:r>
        <w:rPr>
          <w:lang w:val="en-US"/>
        </w:rPr>
        <w:t>Pinches</w:t>
      </w:r>
      <w:r w:rsidRPr="00311C81">
        <w:rPr>
          <w:lang w:val="en-US"/>
        </w:rPr>
        <w:t xml:space="preserve"> </w:t>
      </w:r>
      <w:r>
        <w:rPr>
          <w:lang w:val="en-US"/>
        </w:rPr>
        <w:t>S</w:t>
      </w:r>
      <w:r w:rsidRPr="00311C81">
        <w:rPr>
          <w:lang w:val="en-US"/>
        </w:rPr>
        <w:t>.</w:t>
      </w:r>
      <w:r>
        <w:rPr>
          <w:lang w:val="en-US"/>
        </w:rPr>
        <w:t>D</w:t>
      </w:r>
      <w:r w:rsidRPr="00311C81">
        <w:rPr>
          <w:lang w:val="en-US"/>
        </w:rPr>
        <w:t xml:space="preserve">., </w:t>
      </w:r>
      <w:r>
        <w:rPr>
          <w:lang w:val="en-US"/>
        </w:rPr>
        <w:t>Sharapov</w:t>
      </w:r>
      <w:r w:rsidRPr="00311C81">
        <w:rPr>
          <w:lang w:val="en-US"/>
        </w:rPr>
        <w:t xml:space="preserve"> </w:t>
      </w:r>
      <w:r>
        <w:rPr>
          <w:lang w:val="en-US"/>
        </w:rPr>
        <w:t>S</w:t>
      </w:r>
      <w:r w:rsidRPr="00311C81">
        <w:rPr>
          <w:lang w:val="en-US"/>
        </w:rPr>
        <w:t>.</w:t>
      </w:r>
      <w:r>
        <w:rPr>
          <w:lang w:val="en-US"/>
        </w:rPr>
        <w:t>E</w:t>
      </w:r>
      <w:r w:rsidRPr="00311C81">
        <w:rPr>
          <w:lang w:val="en-US"/>
        </w:rPr>
        <w:t xml:space="preserve">. </w:t>
      </w:r>
      <w:r>
        <w:rPr>
          <w:lang w:val="en-US"/>
        </w:rPr>
        <w:t>Physics</w:t>
      </w:r>
      <w:r w:rsidRPr="00311C81">
        <w:rPr>
          <w:lang w:val="en-US"/>
        </w:rPr>
        <w:t xml:space="preserve"> </w:t>
      </w:r>
      <w:r>
        <w:rPr>
          <w:lang w:val="en-US"/>
        </w:rPr>
        <w:t>Letters</w:t>
      </w:r>
      <w:r w:rsidRPr="00311C81">
        <w:rPr>
          <w:lang w:val="en-US"/>
        </w:rPr>
        <w:t xml:space="preserve"> </w:t>
      </w:r>
      <w:r>
        <w:rPr>
          <w:lang w:val="en-US"/>
        </w:rPr>
        <w:t>A</w:t>
      </w:r>
      <w:r w:rsidRPr="00311C81">
        <w:rPr>
          <w:lang w:val="en-US"/>
        </w:rPr>
        <w:t xml:space="preserve">, 2006, </w:t>
      </w:r>
      <w:r>
        <w:rPr>
          <w:lang w:val="en-US"/>
        </w:rPr>
        <w:t>v</w:t>
      </w:r>
      <w:r w:rsidRPr="00311C81">
        <w:rPr>
          <w:lang w:val="en-US"/>
        </w:rPr>
        <w:t xml:space="preserve">. 358, </w:t>
      </w:r>
      <w:r>
        <w:rPr>
          <w:lang w:val="en-US"/>
        </w:rPr>
        <w:t>p</w:t>
      </w:r>
      <w:r w:rsidRPr="00311C81">
        <w:rPr>
          <w:lang w:val="en-US"/>
        </w:rPr>
        <w:t>. 154.</w:t>
      </w:r>
    </w:p>
    <w:p w:rsidR="001A5D2D" w:rsidRPr="004718F8" w:rsidRDefault="001A5D2D" w:rsidP="004718F8">
      <w:pPr>
        <w:pStyle w:val="Zv-References-ru"/>
        <w:rPr>
          <w:lang w:val="en-US"/>
        </w:rPr>
      </w:pPr>
      <w:r>
        <w:rPr>
          <w:lang w:val="en-US"/>
        </w:rPr>
        <w:t>Lakhin</w:t>
      </w:r>
      <w:r w:rsidRPr="00311C81">
        <w:rPr>
          <w:lang w:val="en-US"/>
        </w:rPr>
        <w:t xml:space="preserve"> </w:t>
      </w:r>
      <w:r>
        <w:rPr>
          <w:lang w:val="en-US"/>
        </w:rPr>
        <w:t>L</w:t>
      </w:r>
      <w:r w:rsidRPr="00311C81">
        <w:rPr>
          <w:lang w:val="en-US"/>
        </w:rPr>
        <w:t>.</w:t>
      </w:r>
      <w:r>
        <w:rPr>
          <w:lang w:val="en-US"/>
        </w:rPr>
        <w:t>P</w:t>
      </w:r>
      <w:r w:rsidRPr="00311C81">
        <w:rPr>
          <w:lang w:val="en-US"/>
        </w:rPr>
        <w:t>.</w:t>
      </w:r>
      <w:r>
        <w:rPr>
          <w:lang w:val="en-US"/>
        </w:rPr>
        <w:t>, Sorokina E.A. Physics Letters A, 2014, v. 378, p. 535.</w:t>
      </w:r>
    </w:p>
    <w:p w:rsidR="001A5D2D" w:rsidRPr="004718F8" w:rsidRDefault="001A5D2D" w:rsidP="004718F8">
      <w:pPr>
        <w:pStyle w:val="Zv-bodyreportcont"/>
        <w:rPr>
          <w:lang w:val="en-US"/>
        </w:rPr>
      </w:pPr>
    </w:p>
    <w:sectPr w:rsidR="001A5D2D" w:rsidRPr="004718F8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E0A" w:rsidRDefault="00E71E0A">
      <w:r>
        <w:separator/>
      </w:r>
    </w:p>
  </w:endnote>
  <w:endnote w:type="continuationSeparator" w:id="0">
    <w:p w:rsidR="00E71E0A" w:rsidRDefault="00E71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D2D" w:rsidRDefault="00F635DC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A5D2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5D2D" w:rsidRDefault="001A5D2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D2D" w:rsidRDefault="00F635DC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A5D2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50C9E">
      <w:rPr>
        <w:rStyle w:val="a7"/>
        <w:noProof/>
      </w:rPr>
      <w:t>1</w:t>
    </w:r>
    <w:r>
      <w:rPr>
        <w:rStyle w:val="a7"/>
      </w:rPr>
      <w:fldChar w:fldCharType="end"/>
    </w:r>
  </w:p>
  <w:p w:rsidR="001A5D2D" w:rsidRDefault="001A5D2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E0A" w:rsidRDefault="00E71E0A">
      <w:r>
        <w:separator/>
      </w:r>
    </w:p>
  </w:footnote>
  <w:footnote w:type="continuationSeparator" w:id="0">
    <w:p w:rsidR="00E71E0A" w:rsidRDefault="00E71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D2D" w:rsidRDefault="001A5D2D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D4197">
      <w:rPr>
        <w:sz w:val="20"/>
      </w:rPr>
      <w:t>8</w:t>
    </w:r>
    <w:r>
      <w:rPr>
        <w:sz w:val="20"/>
      </w:rPr>
      <w:t xml:space="preserve"> – 1</w:t>
    </w:r>
    <w:r w:rsidRPr="001D4197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1D4197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1A5D2D" w:rsidRDefault="00F635DC">
    <w:pPr>
      <w:pStyle w:val="a3"/>
      <w:jc w:val="center"/>
      <w:rPr>
        <w:sz w:val="20"/>
        <w:lang w:val="en-US"/>
      </w:rPr>
    </w:pPr>
    <w:r w:rsidRPr="00F635DC"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C7078"/>
    <w:rsid w:val="000D76E9"/>
    <w:rsid w:val="000E495B"/>
    <w:rsid w:val="001405DA"/>
    <w:rsid w:val="00160781"/>
    <w:rsid w:val="001727CF"/>
    <w:rsid w:val="001A5D2D"/>
    <w:rsid w:val="001A6814"/>
    <w:rsid w:val="001B2E8E"/>
    <w:rsid w:val="001C0CCB"/>
    <w:rsid w:val="001D4197"/>
    <w:rsid w:val="001F3411"/>
    <w:rsid w:val="00220629"/>
    <w:rsid w:val="00247225"/>
    <w:rsid w:val="00256260"/>
    <w:rsid w:val="00281DCF"/>
    <w:rsid w:val="002F20E6"/>
    <w:rsid w:val="00311C81"/>
    <w:rsid w:val="003800F3"/>
    <w:rsid w:val="003B5B93"/>
    <w:rsid w:val="003C1B47"/>
    <w:rsid w:val="00401388"/>
    <w:rsid w:val="00446025"/>
    <w:rsid w:val="00447ABC"/>
    <w:rsid w:val="00463098"/>
    <w:rsid w:val="004718F8"/>
    <w:rsid w:val="004A77D1"/>
    <w:rsid w:val="004B72AA"/>
    <w:rsid w:val="004F4E29"/>
    <w:rsid w:val="00550C9E"/>
    <w:rsid w:val="00552FD6"/>
    <w:rsid w:val="00567C6F"/>
    <w:rsid w:val="0058676C"/>
    <w:rsid w:val="00654A7B"/>
    <w:rsid w:val="006864F6"/>
    <w:rsid w:val="00732A2E"/>
    <w:rsid w:val="0075787B"/>
    <w:rsid w:val="00757F69"/>
    <w:rsid w:val="007B6378"/>
    <w:rsid w:val="00802D35"/>
    <w:rsid w:val="008148EF"/>
    <w:rsid w:val="008B3577"/>
    <w:rsid w:val="008C1909"/>
    <w:rsid w:val="00904076"/>
    <w:rsid w:val="0091551E"/>
    <w:rsid w:val="009C3799"/>
    <w:rsid w:val="00A835C8"/>
    <w:rsid w:val="00AB5F1D"/>
    <w:rsid w:val="00AD5813"/>
    <w:rsid w:val="00B135D5"/>
    <w:rsid w:val="00B622ED"/>
    <w:rsid w:val="00B62DCD"/>
    <w:rsid w:val="00B67189"/>
    <w:rsid w:val="00B9584E"/>
    <w:rsid w:val="00B974E6"/>
    <w:rsid w:val="00C103CD"/>
    <w:rsid w:val="00C232A0"/>
    <w:rsid w:val="00C32E75"/>
    <w:rsid w:val="00C607B0"/>
    <w:rsid w:val="00CD7E7B"/>
    <w:rsid w:val="00D47F19"/>
    <w:rsid w:val="00D709DC"/>
    <w:rsid w:val="00DA1324"/>
    <w:rsid w:val="00E0692A"/>
    <w:rsid w:val="00E1331D"/>
    <w:rsid w:val="00E17A67"/>
    <w:rsid w:val="00E7021A"/>
    <w:rsid w:val="00E71E0A"/>
    <w:rsid w:val="00E747A0"/>
    <w:rsid w:val="00E87733"/>
    <w:rsid w:val="00EC79E4"/>
    <w:rsid w:val="00EF30C7"/>
    <w:rsid w:val="00F11E2F"/>
    <w:rsid w:val="00F2577B"/>
    <w:rsid w:val="00F635DC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635D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F635D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635D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35DC"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35DC"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635DC"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styleId="aa">
    <w:name w:val="Balloon Text"/>
    <w:basedOn w:val="a"/>
    <w:link w:val="ab"/>
    <w:uiPriority w:val="99"/>
    <w:rsid w:val="001D419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AD5813"/>
    <w:rPr>
      <w:rFonts w:cs="Times New Roman"/>
      <w:color w:val="0000FF"/>
      <w:u w:val="single"/>
    </w:rPr>
  </w:style>
  <w:style w:type="character" w:customStyle="1" w:styleId="ab">
    <w:name w:val="Текст выноски Знак"/>
    <w:basedOn w:val="a0"/>
    <w:link w:val="aa"/>
    <w:uiPriority w:val="99"/>
    <w:locked/>
    <w:rsid w:val="001D4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lzovi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320</Words>
  <Characters>2374</Characters>
  <Application>Microsoft Office Word</Application>
  <DocSecurity>0</DocSecurity>
  <Lines>19</Lines>
  <Paragraphs>5</Paragraphs>
  <ScaleCrop>false</ScaleCrop>
  <Company>k13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Глобальные геодезические акустические моды в токамаке в рамках двужидкостной мГД</dc:title>
  <dc:subject/>
  <dc:creator>Сергей Сатунин</dc:creator>
  <cp:keywords/>
  <dc:description/>
  <cp:lastModifiedBy>Сергей Сатунин</cp:lastModifiedBy>
  <cp:revision>2</cp:revision>
  <dcterms:created xsi:type="dcterms:W3CDTF">2016-01-07T16:03:00Z</dcterms:created>
  <dcterms:modified xsi:type="dcterms:W3CDTF">2016-01-07T16:03:00Z</dcterms:modified>
</cp:coreProperties>
</file>