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B1" w:rsidRPr="00D346FF" w:rsidRDefault="00030BB1" w:rsidP="009B48DD">
      <w:pPr>
        <w:pStyle w:val="Zv-Titlereport"/>
        <w:rPr>
          <w:highlight w:val="yellow"/>
          <w:shd w:val="clear" w:color="auto" w:fill="FFFFFF"/>
        </w:rPr>
      </w:pPr>
      <w:r w:rsidRPr="00762CEA">
        <w:rPr>
          <w:bCs/>
          <w:noProof/>
          <w:lang w:eastAsia="en-US"/>
        </w:rPr>
        <w:t>ТОПЛИВНая СИСТЕМа ТОКАМАКА ДЕМО-ТИН</w:t>
      </w:r>
      <w:r w:rsidRPr="00CD4A9B">
        <w:t xml:space="preserve"> </w:t>
      </w:r>
      <w:r w:rsidRPr="00CD4A9B">
        <w:rPr>
          <w:bCs/>
          <w:noProof/>
          <w:lang w:eastAsia="en-US"/>
        </w:rPr>
        <w:t>с учетом характеристик гибридного бланкета</w:t>
      </w:r>
      <w:r w:rsidRPr="00D346FF">
        <w:rPr>
          <w:highlight w:val="yellow"/>
          <w:shd w:val="clear" w:color="auto" w:fill="FFFFFF"/>
        </w:rPr>
        <w:t xml:space="preserve"> </w:t>
      </w:r>
    </w:p>
    <w:p w:rsidR="00030BB1" w:rsidRPr="00160441" w:rsidRDefault="00030BB1" w:rsidP="00637063">
      <w:pPr>
        <w:ind w:firstLine="709"/>
        <w:jc w:val="center"/>
        <w:rPr>
          <w:noProof/>
          <w:szCs w:val="20"/>
        </w:rPr>
      </w:pPr>
      <w:r w:rsidRPr="008A6BC8">
        <w:rPr>
          <w:noProof/>
          <w:szCs w:val="20"/>
          <w:u w:val="single"/>
        </w:rPr>
        <w:t>С</w:t>
      </w:r>
      <w:r w:rsidRPr="00160441">
        <w:rPr>
          <w:noProof/>
          <w:szCs w:val="20"/>
          <w:u w:val="single"/>
        </w:rPr>
        <w:t>.</w:t>
      </w:r>
      <w:r w:rsidRPr="008A6BC8">
        <w:rPr>
          <w:noProof/>
          <w:szCs w:val="20"/>
          <w:u w:val="single"/>
        </w:rPr>
        <w:t>С</w:t>
      </w:r>
      <w:r w:rsidRPr="00160441">
        <w:rPr>
          <w:noProof/>
          <w:szCs w:val="20"/>
          <w:u w:val="single"/>
        </w:rPr>
        <w:t>.</w:t>
      </w:r>
      <w:r w:rsidRPr="0072085A">
        <w:rPr>
          <w:noProof/>
          <w:szCs w:val="20"/>
          <w:u w:val="single"/>
        </w:rPr>
        <w:t xml:space="preserve"> </w:t>
      </w:r>
      <w:r w:rsidRPr="008A6BC8">
        <w:rPr>
          <w:noProof/>
          <w:szCs w:val="20"/>
          <w:u w:val="single"/>
        </w:rPr>
        <w:t>Ананьев</w:t>
      </w:r>
      <w:r w:rsidRPr="00160441">
        <w:rPr>
          <w:noProof/>
          <w:szCs w:val="20"/>
        </w:rPr>
        <w:t xml:space="preserve">, </w:t>
      </w:r>
      <w:r w:rsidRPr="008A6BC8">
        <w:rPr>
          <w:noProof/>
          <w:szCs w:val="20"/>
        </w:rPr>
        <w:t>А</w:t>
      </w:r>
      <w:r w:rsidRPr="00160441">
        <w:rPr>
          <w:noProof/>
          <w:szCs w:val="20"/>
        </w:rPr>
        <w:t>.</w:t>
      </w:r>
      <w:r w:rsidRPr="008A6BC8">
        <w:rPr>
          <w:noProof/>
          <w:szCs w:val="20"/>
        </w:rPr>
        <w:t>В</w:t>
      </w:r>
      <w:r w:rsidRPr="00160441">
        <w:rPr>
          <w:noProof/>
          <w:szCs w:val="20"/>
        </w:rPr>
        <w:t>.</w:t>
      </w:r>
      <w:r w:rsidRPr="0072085A">
        <w:rPr>
          <w:noProof/>
          <w:szCs w:val="20"/>
        </w:rPr>
        <w:t xml:space="preserve"> </w:t>
      </w:r>
      <w:r w:rsidRPr="008A6BC8">
        <w:rPr>
          <w:noProof/>
          <w:szCs w:val="20"/>
        </w:rPr>
        <w:t>Спицын</w:t>
      </w:r>
      <w:r w:rsidRPr="00160441">
        <w:rPr>
          <w:noProof/>
          <w:szCs w:val="20"/>
        </w:rPr>
        <w:t>,</w:t>
      </w:r>
      <w:r w:rsidRPr="0072085A">
        <w:rPr>
          <w:noProof/>
          <w:szCs w:val="20"/>
        </w:rPr>
        <w:t xml:space="preserve"> </w:t>
      </w:r>
      <w:r w:rsidRPr="008A6BC8">
        <w:rPr>
          <w:noProof/>
          <w:szCs w:val="20"/>
        </w:rPr>
        <w:t>Б</w:t>
      </w:r>
      <w:r w:rsidRPr="00160441">
        <w:rPr>
          <w:noProof/>
          <w:szCs w:val="20"/>
        </w:rPr>
        <w:t>.</w:t>
      </w:r>
      <w:r w:rsidRPr="008A6BC8">
        <w:rPr>
          <w:noProof/>
          <w:szCs w:val="20"/>
        </w:rPr>
        <w:t>В</w:t>
      </w:r>
      <w:r w:rsidRPr="00160441">
        <w:rPr>
          <w:noProof/>
          <w:szCs w:val="20"/>
        </w:rPr>
        <w:t xml:space="preserve">. </w:t>
      </w:r>
      <w:r w:rsidRPr="008A6BC8">
        <w:rPr>
          <w:noProof/>
          <w:szCs w:val="20"/>
        </w:rPr>
        <w:t>Кутеев</w:t>
      </w:r>
    </w:p>
    <w:p w:rsidR="00030BB1" w:rsidRPr="00D346FF" w:rsidRDefault="00030BB1" w:rsidP="009B48DD">
      <w:pPr>
        <w:pStyle w:val="Zv-Organization"/>
        <w:rPr>
          <w:i w:val="0"/>
          <w:color w:val="000000"/>
          <w:sz w:val="22"/>
          <w:shd w:val="clear" w:color="auto" w:fill="FFFFFF"/>
        </w:rPr>
      </w:pPr>
      <w:r w:rsidRPr="00D346FF">
        <w:t xml:space="preserve">Национальный исследовательский центр «Курчатовский институт», Москва, Россия, </w:t>
      </w:r>
      <w:hyperlink r:id="rId7" w:history="1">
        <w:r w:rsidRPr="00D346FF">
          <w:rPr>
            <w:rStyle w:val="aa"/>
            <w:lang w:val="en-US"/>
          </w:rPr>
          <w:t>Ananyev</w:t>
        </w:r>
        <w:r w:rsidRPr="00D346FF">
          <w:rPr>
            <w:rStyle w:val="aa"/>
          </w:rPr>
          <w:t>_</w:t>
        </w:r>
        <w:r w:rsidRPr="00D346FF">
          <w:rPr>
            <w:rStyle w:val="aa"/>
            <w:lang w:val="en-US"/>
          </w:rPr>
          <w:t>SS</w:t>
        </w:r>
        <w:r w:rsidRPr="00D346FF">
          <w:rPr>
            <w:rStyle w:val="aa"/>
          </w:rPr>
          <w:t>@</w:t>
        </w:r>
        <w:r w:rsidRPr="00D346FF">
          <w:rPr>
            <w:rStyle w:val="aa"/>
            <w:lang w:val="en-US"/>
          </w:rPr>
          <w:t>nrcki</w:t>
        </w:r>
        <w:r w:rsidRPr="00D346FF">
          <w:rPr>
            <w:rStyle w:val="aa"/>
          </w:rPr>
          <w:t>.</w:t>
        </w:r>
        <w:r w:rsidRPr="00D346FF">
          <w:rPr>
            <w:rStyle w:val="aa"/>
            <w:lang w:val="en-US"/>
          </w:rPr>
          <w:t>ru</w:t>
        </w:r>
      </w:hyperlink>
    </w:p>
    <w:p w:rsidR="00030BB1" w:rsidRPr="00322F4B" w:rsidRDefault="00030BB1" w:rsidP="000B6092">
      <w:pPr>
        <w:pStyle w:val="Zv-bodyreport"/>
      </w:pPr>
      <w:r w:rsidRPr="00616D56">
        <w:t xml:space="preserve">В рамках развития атомной энергетики НИЦ «Курчатовский институт» разработал и предложил программу </w:t>
      </w:r>
      <w:r>
        <w:t xml:space="preserve">создания гибридных </w:t>
      </w:r>
      <w:r w:rsidRPr="00AC09F4">
        <w:t>реакторов, сочетающих ядерные и термоядерные технологии. Основой гибридного реактора является</w:t>
      </w:r>
      <w:r>
        <w:t xml:space="preserve"> термоядерный источник нейтронов (ТИН) на основе </w:t>
      </w:r>
      <w:r w:rsidRPr="00322F4B">
        <w:t xml:space="preserve">токамака [1]. Основное отличие ТИН от демонстрационного термоядерного реактора ДЕМО заключается в том, что для ТИН нет необходимости достижения условия зажигания термоядерной плазмы, а достаточно получить нейтронный выход, сопоставимый с вкладываемой мощностью дополнительного нагрева. В отличие от чистого термоядерного реактора без делящихся материалов, необходимая мощность термоядерной реакции может быть до 100 раз меньше в связи с тем, что основное энерговыделение происходит в подкритическом бланкете, за счет реакций деления, что существенно снижает требования к параметрам плазмы и материалам токамака. </w:t>
      </w:r>
    </w:p>
    <w:p w:rsidR="00030BB1" w:rsidRPr="00322F4B" w:rsidRDefault="00030BB1" w:rsidP="000B6092">
      <w:pPr>
        <w:pStyle w:val="Zv-bodyreport"/>
      </w:pPr>
      <w:r w:rsidRPr="00322F4B">
        <w:t>ТИН является ключевой системой гибридного реактора и должен обеспечивать стационарный поток термоядерных нейтронов с мощностью более 10</w:t>
      </w:r>
      <w:r w:rsidR="000B6092">
        <w:rPr>
          <w:lang w:val="en-US"/>
        </w:rPr>
        <w:t> </w:t>
      </w:r>
      <w:r w:rsidR="000B6092" w:rsidRPr="000C2A7F">
        <w:t>–</w:t>
      </w:r>
      <w:r w:rsidR="000B6092">
        <w:rPr>
          <w:lang w:val="en-US"/>
        </w:rPr>
        <w:t> </w:t>
      </w:r>
      <w:r w:rsidRPr="00322F4B">
        <w:t xml:space="preserve">50 МВт, что близко к достигнутым импульсным значениям существующих установок JET и JT-60U. Технологии топливного цикла (ТЦ) является одним из ключевых элементов для ТИН. Системы ТЦ должны обеспечивать обращение и хранение дейтерия и трития, а также переработку топливной смеси во всех системах термоядерного реактора. Эти технологии должны быть значительно развиты, потому что технические решения, выбранные в проекте ITER могут быть использованы в ТИН только частично из-за стационарного режима работы установки, более высоких нейтронных потоков и потоков трития в элементах топливного цикла. </w:t>
      </w:r>
    </w:p>
    <w:p w:rsidR="00030BB1" w:rsidRDefault="00030BB1" w:rsidP="000B6092">
      <w:pPr>
        <w:pStyle w:val="Zv-bodyreport"/>
      </w:pPr>
      <w:r w:rsidRPr="00322F4B">
        <w:t>Для оценки распределения трития в системах термоядерного реактора и компонентов «тритиевого завода» необходимо осуществлять динамическое моделирование всех элементов систем с учетом особенностей работы токамака. Такие расчеты в настоящее время проводятся с использованием кода «</w:t>
      </w:r>
      <w:r w:rsidRPr="00322F4B">
        <w:rPr>
          <w:lang w:val="en-US"/>
        </w:rPr>
        <w:t>FC</w:t>
      </w:r>
      <w:r w:rsidRPr="00322F4B">
        <w:t>-</w:t>
      </w:r>
      <w:r w:rsidRPr="00322F4B">
        <w:rPr>
          <w:lang w:val="en-US"/>
        </w:rPr>
        <w:t>FNS</w:t>
      </w:r>
      <w:r w:rsidRPr="00322F4B">
        <w:t>» [2]. Код позволяет осуществлять расчет</w:t>
      </w:r>
      <w:r w:rsidRPr="00762CEA">
        <w:t xml:space="preserve"> тритиевых потоков и запасов в системах термоядерного токамака. Код учитывает механизмы потери трития в топливном цикле в связи с термоядерным выгоранием и В-распадом во всех системах. Код модернизируется как в сторону расширения систем очистки от токсичных изотопов водорода технических газов и жидкостей, так и в сторону проработки рассматриваемых систем. Для замыкания ТЦ рассмотрены процессы наработки</w:t>
      </w:r>
      <w:r w:rsidRPr="00616D56">
        <w:t xml:space="preserve"> трития при </w:t>
      </w:r>
      <w:r>
        <w:t xml:space="preserve">в </w:t>
      </w:r>
      <w:r w:rsidRPr="00CD4A9B">
        <w:rPr>
          <w:bCs/>
          <w:noProof/>
          <w:lang w:eastAsia="en-US"/>
        </w:rPr>
        <w:t>гибридно</w:t>
      </w:r>
      <w:r>
        <w:rPr>
          <w:bCs/>
          <w:noProof/>
          <w:lang w:eastAsia="en-US"/>
        </w:rPr>
        <w:t>м</w:t>
      </w:r>
      <w:r w:rsidRPr="00CD4A9B">
        <w:rPr>
          <w:bCs/>
          <w:noProof/>
          <w:lang w:eastAsia="en-US"/>
        </w:rPr>
        <w:t xml:space="preserve"> бланкет</w:t>
      </w:r>
      <w:r>
        <w:rPr>
          <w:bCs/>
          <w:noProof/>
          <w:lang w:eastAsia="en-US"/>
        </w:rPr>
        <w:t>е</w:t>
      </w:r>
      <w:r>
        <w:t>.</w:t>
      </w:r>
    </w:p>
    <w:p w:rsidR="00030BB1" w:rsidRPr="00637063" w:rsidRDefault="00030BB1" w:rsidP="000B6092">
      <w:pPr>
        <w:pStyle w:val="Zv-bodyreport"/>
        <w:rPr>
          <w:highlight w:val="yellow"/>
        </w:rPr>
      </w:pPr>
      <w:r w:rsidRPr="00756FFB">
        <w:t>В докладе представлена концептуальная схема топливного цикла</w:t>
      </w:r>
      <w:r w:rsidRPr="0048755A">
        <w:t xml:space="preserve"> стационарного</w:t>
      </w:r>
      <w:r w:rsidR="00DD0413">
        <w:t xml:space="preserve"> ТИН с термоядерной мощностью 3</w:t>
      </w:r>
      <w:r w:rsidR="00DD0413">
        <w:rPr>
          <w:lang w:val="en-US"/>
        </w:rPr>
        <w:t> </w:t>
      </w:r>
      <w:r w:rsidR="00DD0413" w:rsidRPr="000C2A7F">
        <w:t>–</w:t>
      </w:r>
      <w:r w:rsidR="00DD0413">
        <w:rPr>
          <w:lang w:val="en-US"/>
        </w:rPr>
        <w:t> </w:t>
      </w:r>
      <w:r w:rsidRPr="0048755A">
        <w:t>50 МВт</w:t>
      </w:r>
      <w:r>
        <w:t xml:space="preserve">, приведены актуальные </w:t>
      </w:r>
      <w:r w:rsidRPr="0048755A">
        <w:t xml:space="preserve">оценки распределения трития в системах гибридного реактора и элементов «тритиевого завода». </w:t>
      </w:r>
      <w:r>
        <w:t>Приведены расчеты для ТЦ систем нейтральной инжекции и модуля воспроизводства трития.</w:t>
      </w:r>
    </w:p>
    <w:p w:rsidR="00030BB1" w:rsidRPr="00762CEA" w:rsidRDefault="00030BB1" w:rsidP="00026E4A">
      <w:pPr>
        <w:pStyle w:val="Zv-TitleReferences-ru"/>
        <w:rPr>
          <w:lang w:val="en-US"/>
        </w:rPr>
      </w:pPr>
      <w:r w:rsidRPr="00762CEA">
        <w:t>Литература</w:t>
      </w:r>
    </w:p>
    <w:p w:rsidR="00030BB1" w:rsidRPr="00322F4B" w:rsidRDefault="00030BB1" w:rsidP="00322F4B">
      <w:pPr>
        <w:pStyle w:val="Zv-References-ru"/>
        <w:rPr>
          <w:lang w:val="en-US"/>
        </w:rPr>
      </w:pPr>
      <w:r w:rsidRPr="00322F4B">
        <w:rPr>
          <w:lang w:val="en-US"/>
        </w:rPr>
        <w:t xml:space="preserve">B.V. Kuteev, </w:t>
      </w:r>
      <w:r>
        <w:rPr>
          <w:lang w:val="en-US"/>
        </w:rPr>
        <w:t>at</w:t>
      </w:r>
      <w:r w:rsidRPr="00322F4B">
        <w:rPr>
          <w:lang w:val="en-US"/>
        </w:rPr>
        <w:t xml:space="preserve"> </w:t>
      </w:r>
      <w:r>
        <w:rPr>
          <w:lang w:val="en-US"/>
        </w:rPr>
        <w:t xml:space="preserve">al. // </w:t>
      </w:r>
      <w:r w:rsidRPr="00322F4B">
        <w:rPr>
          <w:lang w:val="en-US"/>
        </w:rPr>
        <w:t xml:space="preserve">Published 26 June 2015 © 2015 IAEA, </w:t>
      </w:r>
      <w:smartTag w:uri="urn:schemas-microsoft-com:office:smarttags" w:element="City">
        <w:smartTag w:uri="urn:schemas-microsoft-com:office:smarttags" w:element="place">
          <w:r w:rsidRPr="00322F4B">
            <w:rPr>
              <w:lang w:val="en-US"/>
            </w:rPr>
            <w:t>Vienna</w:t>
          </w:r>
        </w:smartTag>
      </w:smartTag>
      <w:r w:rsidRPr="00322F4B">
        <w:rPr>
          <w:lang w:val="en-US"/>
        </w:rPr>
        <w:t xml:space="preserve"> Nuclear Fusion, Volume 55, Number 7.</w:t>
      </w:r>
    </w:p>
    <w:p w:rsidR="00030BB1" w:rsidRPr="00756FFB" w:rsidRDefault="00030BB1" w:rsidP="009B48DD">
      <w:pPr>
        <w:pStyle w:val="Zv-References-ru"/>
        <w:rPr>
          <w:lang w:val="en-US"/>
        </w:rPr>
      </w:pPr>
      <w:r w:rsidRPr="00762CEA">
        <w:rPr>
          <w:lang w:val="en-US"/>
        </w:rPr>
        <w:t>Anan’ev S.S. et al.</w:t>
      </w:r>
      <w:r w:rsidRPr="00762CEA">
        <w:rPr>
          <w:b/>
          <w:lang w:val="en-US"/>
        </w:rPr>
        <w:t xml:space="preserve"> </w:t>
      </w:r>
      <w:r w:rsidRPr="00762CEA">
        <w:rPr>
          <w:lang w:val="en-US"/>
        </w:rPr>
        <w:t>Concept of DT fuel cycle for a fusion neutron source // Fusion science and technology vol. 67 mar. 2015</w:t>
      </w:r>
    </w:p>
    <w:p w:rsidR="00030BB1" w:rsidRPr="000C2A7F" w:rsidRDefault="00030BB1" w:rsidP="000C2A7F">
      <w:pPr>
        <w:pStyle w:val="Zv-Organization"/>
        <w:ind w:left="0"/>
        <w:rPr>
          <w:lang w:val="en-US"/>
        </w:rPr>
      </w:pPr>
    </w:p>
    <w:sectPr w:rsidR="00030BB1" w:rsidRPr="000C2A7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BB1" w:rsidRDefault="00030BB1">
      <w:r>
        <w:separator/>
      </w:r>
    </w:p>
  </w:endnote>
  <w:endnote w:type="continuationSeparator" w:id="0">
    <w:p w:rsidR="00030BB1" w:rsidRDefault="00030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B1" w:rsidRDefault="00030BB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30BB1" w:rsidRDefault="00030BB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B1" w:rsidRDefault="00030BB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2A7F">
      <w:rPr>
        <w:rStyle w:val="a7"/>
        <w:noProof/>
      </w:rPr>
      <w:t>1</w:t>
    </w:r>
    <w:r>
      <w:rPr>
        <w:rStyle w:val="a7"/>
      </w:rPr>
      <w:fldChar w:fldCharType="end"/>
    </w:r>
  </w:p>
  <w:p w:rsidR="00030BB1" w:rsidRDefault="00030B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BB1" w:rsidRDefault="00030BB1">
      <w:r>
        <w:separator/>
      </w:r>
    </w:p>
  </w:footnote>
  <w:footnote w:type="continuationSeparator" w:id="0">
    <w:p w:rsidR="00030BB1" w:rsidRDefault="00030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BB1" w:rsidRDefault="00030BB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A0DD8">
      <w:rPr>
        <w:sz w:val="20"/>
      </w:rPr>
      <w:t>8</w:t>
    </w:r>
    <w:r>
      <w:rPr>
        <w:sz w:val="20"/>
      </w:rPr>
      <w:t xml:space="preserve"> – 1</w:t>
    </w:r>
    <w:r w:rsidRPr="003A0DD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A0DD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30BB1" w:rsidRDefault="000C2A7F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61D16147"/>
    <w:multiLevelType w:val="hybridMultilevel"/>
    <w:tmpl w:val="F242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6843"/>
    <w:rsid w:val="00026E4A"/>
    <w:rsid w:val="00030BB1"/>
    <w:rsid w:val="00037DCC"/>
    <w:rsid w:val="00043701"/>
    <w:rsid w:val="0009351C"/>
    <w:rsid w:val="000B1119"/>
    <w:rsid w:val="000B6092"/>
    <w:rsid w:val="000C2A7F"/>
    <w:rsid w:val="000C7078"/>
    <w:rsid w:val="000D76E9"/>
    <w:rsid w:val="000E495B"/>
    <w:rsid w:val="0013045F"/>
    <w:rsid w:val="00160441"/>
    <w:rsid w:val="0016127E"/>
    <w:rsid w:val="001C0CCB"/>
    <w:rsid w:val="001E68A9"/>
    <w:rsid w:val="00216843"/>
    <w:rsid w:val="00220629"/>
    <w:rsid w:val="002244A9"/>
    <w:rsid w:val="00247225"/>
    <w:rsid w:val="002B127A"/>
    <w:rsid w:val="0030466F"/>
    <w:rsid w:val="0032255E"/>
    <w:rsid w:val="00322F4B"/>
    <w:rsid w:val="003800F3"/>
    <w:rsid w:val="003A0DD8"/>
    <w:rsid w:val="003B5B93"/>
    <w:rsid w:val="003C1B47"/>
    <w:rsid w:val="003C58EB"/>
    <w:rsid w:val="00401388"/>
    <w:rsid w:val="00446025"/>
    <w:rsid w:val="00447ABC"/>
    <w:rsid w:val="0048755A"/>
    <w:rsid w:val="004A77D1"/>
    <w:rsid w:val="004B72AA"/>
    <w:rsid w:val="004E72ED"/>
    <w:rsid w:val="004F4E29"/>
    <w:rsid w:val="00567027"/>
    <w:rsid w:val="00567C6F"/>
    <w:rsid w:val="0058676C"/>
    <w:rsid w:val="005F0820"/>
    <w:rsid w:val="00616D56"/>
    <w:rsid w:val="00625276"/>
    <w:rsid w:val="00637063"/>
    <w:rsid w:val="00654A7B"/>
    <w:rsid w:val="00660804"/>
    <w:rsid w:val="006B6FD5"/>
    <w:rsid w:val="0072085A"/>
    <w:rsid w:val="00730999"/>
    <w:rsid w:val="00732A2E"/>
    <w:rsid w:val="00735464"/>
    <w:rsid w:val="00756FFB"/>
    <w:rsid w:val="00762CEA"/>
    <w:rsid w:val="007B6378"/>
    <w:rsid w:val="00802D35"/>
    <w:rsid w:val="0080351E"/>
    <w:rsid w:val="00817A1E"/>
    <w:rsid w:val="008A6BC8"/>
    <w:rsid w:val="00900BA3"/>
    <w:rsid w:val="00932AB0"/>
    <w:rsid w:val="009B48DD"/>
    <w:rsid w:val="009D157E"/>
    <w:rsid w:val="00AC09F4"/>
    <w:rsid w:val="00B622ED"/>
    <w:rsid w:val="00B9426F"/>
    <w:rsid w:val="00B9584E"/>
    <w:rsid w:val="00C103CD"/>
    <w:rsid w:val="00C232A0"/>
    <w:rsid w:val="00CB2190"/>
    <w:rsid w:val="00CD4A9B"/>
    <w:rsid w:val="00D346FF"/>
    <w:rsid w:val="00D47F19"/>
    <w:rsid w:val="00D651F1"/>
    <w:rsid w:val="00DD0413"/>
    <w:rsid w:val="00DD2AD2"/>
    <w:rsid w:val="00E1331D"/>
    <w:rsid w:val="00E226CD"/>
    <w:rsid w:val="00E7021A"/>
    <w:rsid w:val="00E87733"/>
    <w:rsid w:val="00E973F8"/>
    <w:rsid w:val="00EB13B2"/>
    <w:rsid w:val="00ED26C4"/>
    <w:rsid w:val="00F074EA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pple-style-span">
    <w:name w:val="apple-style-span"/>
    <w:basedOn w:val="a0"/>
    <w:uiPriority w:val="99"/>
    <w:rsid w:val="009B48DD"/>
    <w:rPr>
      <w:rFonts w:cs="Times New Roman"/>
    </w:rPr>
  </w:style>
  <w:style w:type="character" w:styleId="aa">
    <w:name w:val="Hyperlink"/>
    <w:basedOn w:val="a0"/>
    <w:uiPriority w:val="99"/>
    <w:rsid w:val="009B48DD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rsid w:val="006B6FD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6B6FD5"/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3"/>
    <w:uiPriority w:val="99"/>
    <w:rsid w:val="00026E4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locked/>
    <w:rsid w:val="00026E4A"/>
    <w:rPr>
      <w:rFonts w:cs="Times New Roman"/>
      <w:sz w:val="24"/>
      <w:szCs w:val="24"/>
    </w:rPr>
  </w:style>
  <w:style w:type="paragraph" w:styleId="ad">
    <w:name w:val="List Paragraph"/>
    <w:basedOn w:val="a"/>
    <w:uiPriority w:val="99"/>
    <w:qFormat/>
    <w:rsid w:val="00216843"/>
    <w:pPr>
      <w:ind w:left="720"/>
      <w:contextualSpacing/>
    </w:pPr>
    <w:rPr>
      <w:rFonts w:ascii="Calibri" w:hAnsi="Calibri"/>
      <w:lang w:val="en-US" w:eastAsia="en-US"/>
    </w:rPr>
  </w:style>
  <w:style w:type="character" w:customStyle="1" w:styleId="notranslate">
    <w:name w:val="notranslate"/>
    <w:uiPriority w:val="99"/>
    <w:rsid w:val="00637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32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7;&#1088;&#1075;&#1077;&#1081;\Downloads\2kazako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2kazako1</Template>
  <TotalTime>3</TotalTime>
  <Pages>1</Pages>
  <Words>474</Words>
  <Characters>2707</Characters>
  <Application>Microsoft Office Word</Application>
  <DocSecurity>0</DocSecurity>
  <Lines>22</Lines>
  <Paragraphs>6</Paragraphs>
  <ScaleCrop>false</ScaleCrop>
  <Company>k13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ТОПЛИВНАЯ СИСТЕМА ТОКАМАКА ДЕМО-ТИН С УЧЕТОМ ХАРАКТЕРИСТИК ГИБРИДНОГО БЛАНКЕТА </dc:title>
  <dc:subject/>
  <dc:creator>Сергей</dc:creator>
  <cp:keywords/>
  <dc:description/>
  <cp:lastModifiedBy>Сергей Сатунин</cp:lastModifiedBy>
  <cp:revision>2</cp:revision>
  <cp:lastPrinted>2015-11-03T09:49:00Z</cp:lastPrinted>
  <dcterms:created xsi:type="dcterms:W3CDTF">2016-01-04T13:05:00Z</dcterms:created>
  <dcterms:modified xsi:type="dcterms:W3CDTF">2016-01-04T13:05:00Z</dcterms:modified>
</cp:coreProperties>
</file>