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5D" w:rsidRPr="00B02A80" w:rsidRDefault="00C93F5D" w:rsidP="00B02A80">
      <w:pPr>
        <w:pStyle w:val="Zv-Titlereport"/>
      </w:pPr>
      <w:bookmarkStart w:id="0" w:name="OLE_LINK1"/>
      <w:bookmarkStart w:id="1" w:name="OLE_LINK2"/>
      <w:r w:rsidRPr="00B02A80">
        <w:t>применение метода канонических профилей для описания поведения плотности плазмы при ЭЦР нагреве на Т-10</w:t>
      </w:r>
      <w:bookmarkEnd w:id="0"/>
      <w:bookmarkEnd w:id="1"/>
    </w:p>
    <w:p w:rsidR="00C93F5D" w:rsidRPr="0021707D" w:rsidRDefault="00C93F5D" w:rsidP="0025579A">
      <w:pPr>
        <w:pStyle w:val="Zv-Author"/>
      </w:pPr>
      <w:r w:rsidRPr="0025579A">
        <w:rPr>
          <w:u w:val="single"/>
        </w:rPr>
        <w:t>Ю.Н. Днестровский</w:t>
      </w:r>
      <w:r w:rsidRPr="0025579A">
        <w:t>, В.А. Вершков, А.В. Данилов, А.Ю. Днестровский, С.Е. Лысенко, Д.А. Шелухин, Г.Ф. Субботин, С.В. Черкасов</w:t>
      </w:r>
    </w:p>
    <w:p w:rsidR="00C93F5D" w:rsidRPr="0025579A" w:rsidRDefault="00C93F5D" w:rsidP="0025579A">
      <w:pPr>
        <w:pStyle w:val="Zv-Organization"/>
      </w:pPr>
      <w:r w:rsidRPr="00546AAD">
        <w:t xml:space="preserve">НИЦ </w:t>
      </w:r>
      <w:r w:rsidRPr="00D86296">
        <w:t>“</w:t>
      </w:r>
      <w:r w:rsidRPr="00546AAD">
        <w:t>Курчатовский Институт</w:t>
      </w:r>
      <w:r w:rsidRPr="00D86296">
        <w:t>”</w:t>
      </w:r>
      <w:r w:rsidRPr="0089797F">
        <w:t xml:space="preserve">, </w:t>
      </w:r>
      <w:r>
        <w:t>Москва, Россия</w:t>
      </w:r>
      <w:r w:rsidRPr="0089797F">
        <w:t xml:space="preserve">, </w:t>
      </w:r>
      <w:hyperlink r:id="rId7" w:history="1">
        <w:r w:rsidRPr="002E239C">
          <w:rPr>
            <w:rStyle w:val="aa"/>
            <w:lang w:val="en-US"/>
          </w:rPr>
          <w:t>Dnestrovskiy</w:t>
        </w:r>
        <w:r w:rsidRPr="002E239C">
          <w:rPr>
            <w:rStyle w:val="aa"/>
          </w:rPr>
          <w:t>_</w:t>
        </w:r>
        <w:r w:rsidRPr="002E239C">
          <w:rPr>
            <w:rStyle w:val="aa"/>
            <w:lang w:val="en-US"/>
          </w:rPr>
          <w:t>YN</w:t>
        </w:r>
        <w:r w:rsidRPr="002E239C">
          <w:rPr>
            <w:rStyle w:val="aa"/>
          </w:rPr>
          <w:t>@</w:t>
        </w:r>
        <w:r w:rsidRPr="002E239C">
          <w:rPr>
            <w:rStyle w:val="aa"/>
            <w:lang w:val="en-US"/>
          </w:rPr>
          <w:t>nrcki</w:t>
        </w:r>
        <w:r w:rsidRPr="002E239C">
          <w:rPr>
            <w:rStyle w:val="aa"/>
          </w:rPr>
          <w:t>.</w:t>
        </w:r>
        <w:r w:rsidRPr="002E239C">
          <w:rPr>
            <w:rStyle w:val="aa"/>
            <w:lang w:val="en-US"/>
          </w:rPr>
          <w:t>ru</w:t>
        </w:r>
      </w:hyperlink>
    </w:p>
    <w:p w:rsidR="00C93F5D" w:rsidRPr="0025579A" w:rsidRDefault="00C93F5D" w:rsidP="00082902">
      <w:pPr>
        <w:pStyle w:val="Zv-bodyreport"/>
        <w:spacing w:line="228" w:lineRule="auto"/>
      </w:pPr>
      <w:r>
        <w:t>Проведено</w:t>
      </w:r>
      <w:r w:rsidRPr="00E123BF">
        <w:t xml:space="preserve"> </w:t>
      </w:r>
      <w:r w:rsidRPr="0025579A">
        <w:t>моделирование поведени</w:t>
      </w:r>
      <w:r>
        <w:t>я</w:t>
      </w:r>
      <w:r w:rsidRPr="0025579A">
        <w:t xml:space="preserve"> профиля плотности плазмы </w:t>
      </w:r>
      <w:r>
        <w:t xml:space="preserve">в </w:t>
      </w:r>
      <w:r w:rsidRPr="0025579A">
        <w:t>серии импульсов токама</w:t>
      </w:r>
      <w:r>
        <w:t>ка</w:t>
      </w:r>
      <w:r w:rsidRPr="0025579A">
        <w:t xml:space="preserve"> Т-10 с ЭЦР нагревом. Для этих импульсов ток плазмы </w:t>
      </w:r>
      <w:r w:rsidRPr="0025579A">
        <w:rPr>
          <w:i/>
        </w:rPr>
        <w:t>I</w:t>
      </w:r>
      <w:r w:rsidRPr="0025579A">
        <w:t xml:space="preserve"> = 0</w:t>
      </w:r>
      <w:r w:rsidR="00082902" w:rsidRPr="000603BE">
        <w:t>,</w:t>
      </w:r>
      <w:r w:rsidRPr="0025579A">
        <w:t xml:space="preserve">2 MA, магнитное поле </w:t>
      </w:r>
      <w:r w:rsidRPr="0025579A">
        <w:rPr>
          <w:i/>
        </w:rPr>
        <w:t>B</w:t>
      </w:r>
      <w:r w:rsidRPr="0025579A">
        <w:t xml:space="preserve"> = 2</w:t>
      </w:r>
      <w:r w:rsidR="00082902" w:rsidRPr="000603BE">
        <w:t>,</w:t>
      </w:r>
      <w:r w:rsidRPr="0025579A">
        <w:t xml:space="preserve">.3 </w:t>
      </w:r>
      <w:r>
        <w:t>Тл</w:t>
      </w:r>
      <w:r w:rsidRPr="0025579A">
        <w:t xml:space="preserve">, режим нестационарен и хордовая плотность плазмы изменяется в диапазоне </w:t>
      </w:r>
      <w:r>
        <w:sym w:font="Symbol" w:char="F060"/>
      </w:r>
      <w:r w:rsidRPr="0025579A">
        <w:rPr>
          <w:i/>
          <w:lang w:val="en-US"/>
        </w:rPr>
        <w:t>n</w:t>
      </w:r>
      <w:r>
        <w:rPr>
          <w:i/>
        </w:rPr>
        <w:t xml:space="preserve"> </w:t>
      </w:r>
      <w:r w:rsidRPr="0025579A">
        <w:t>= 2</w:t>
      </w:r>
      <w:r w:rsidR="00082902" w:rsidRPr="000603BE">
        <w:t>,</w:t>
      </w:r>
      <w:r w:rsidRPr="0025579A">
        <w:t>5 – 4</w:t>
      </w:r>
      <w:r w:rsidR="00082902" w:rsidRPr="000603BE">
        <w:t>,</w:t>
      </w:r>
      <w:r w:rsidRPr="0025579A">
        <w:t>5</w:t>
      </w:r>
      <w:r w:rsidR="00082902">
        <w:t> </w:t>
      </w:r>
      <w:r>
        <w:sym w:font="Symbol" w:char="F0B4"/>
      </w:r>
      <w:r w:rsidR="00082902">
        <w:t> </w:t>
      </w:r>
      <w:r w:rsidRPr="0025579A">
        <w:t>10</w:t>
      </w:r>
      <w:r w:rsidRPr="0025579A">
        <w:rPr>
          <w:vertAlign w:val="superscript"/>
        </w:rPr>
        <w:t>19</w:t>
      </w:r>
      <w:r w:rsidRPr="0025579A">
        <w:t xml:space="preserve"> </w:t>
      </w:r>
      <w:r>
        <w:t>м</w:t>
      </w:r>
      <w:r w:rsidR="00082902">
        <w:rPr>
          <w:vertAlign w:val="superscript"/>
        </w:rPr>
        <w:t>–</w:t>
      </w:r>
      <w:r w:rsidRPr="0025579A">
        <w:rPr>
          <w:vertAlign w:val="superscript"/>
        </w:rPr>
        <w:t>3</w:t>
      </w:r>
      <w:r w:rsidRPr="0025579A">
        <w:t xml:space="preserve">. Для одной части импульсов ЭЦР нагрев включается на стационарной стадии разряда, для другой </w:t>
      </w:r>
      <w:r w:rsidR="00082902">
        <w:t>—</w:t>
      </w:r>
      <w:r w:rsidRPr="0025579A">
        <w:t xml:space="preserve"> на стадии подъема плотности. Поведение хордовой плотности при включении ЭЦР в момент </w:t>
      </w:r>
      <w:r w:rsidRPr="0025579A">
        <w:rPr>
          <w:i/>
        </w:rPr>
        <w:t>t</w:t>
      </w:r>
      <w:r w:rsidRPr="0025579A">
        <w:t xml:space="preserve"> = 0</w:t>
      </w:r>
      <w:r w:rsidR="00082902" w:rsidRPr="000603BE">
        <w:t>,</w:t>
      </w:r>
      <w:r w:rsidRPr="0025579A">
        <w:t xml:space="preserve">4 </w:t>
      </w:r>
      <w:r>
        <w:t>с</w:t>
      </w:r>
      <w:r w:rsidRPr="0025579A">
        <w:t xml:space="preserve"> на стадии подъема плотности при постоянном напуске газа для импульса</w:t>
      </w:r>
      <w:r w:rsidR="00082902">
        <w:t xml:space="preserve"> № 66021 показано пунктиром на р</w:t>
      </w:r>
      <w:r w:rsidRPr="0025579A">
        <w:t>ис.</w:t>
      </w:r>
      <w:r>
        <w:t xml:space="preserve"> </w:t>
      </w:r>
      <w:r w:rsidRPr="0025579A">
        <w:t>1. Очевидно, что при включении ЭЦР удержание частиц ухудшается</w:t>
      </w:r>
      <w:r>
        <w:t>,</w:t>
      </w:r>
      <w:r w:rsidRPr="0025579A">
        <w:t xml:space="preserve"> и рост плотности прекращается.</w:t>
      </w:r>
    </w:p>
    <w:p w:rsidR="00C93F5D" w:rsidRPr="009B6D5E" w:rsidRDefault="00082902" w:rsidP="00082902">
      <w:pPr>
        <w:pStyle w:val="Zv-bodyreport"/>
        <w:spacing w:line="228" w:lineRule="auto"/>
      </w:pPr>
      <w:r>
        <w:rPr>
          <w:bCs/>
        </w:rPr>
        <w:t>На р</w:t>
      </w:r>
      <w:r w:rsidR="00C93F5D">
        <w:rPr>
          <w:bCs/>
        </w:rPr>
        <w:t xml:space="preserve">ис. 2 для этой же стадии проведено сравнение безразмерных экспериментальных градиентов плотности </w:t>
      </w:r>
      <w:r w:rsidR="00C93F5D" w:rsidRPr="00F7416B">
        <w:t>-</w:t>
      </w:r>
      <w:r w:rsidR="00C93F5D" w:rsidRPr="0025579A">
        <w:rPr>
          <w:i/>
          <w:lang w:val="en-US"/>
        </w:rPr>
        <w:t>Rn</w:t>
      </w:r>
      <w:r w:rsidR="00C93F5D" w:rsidRPr="00614649">
        <w:rPr>
          <w:lang w:val="en-US"/>
        </w:rPr>
        <w:sym w:font="Symbol" w:char="F0A2"/>
      </w:r>
      <w:r w:rsidR="00C93F5D" w:rsidRPr="00614649">
        <w:t>/</w:t>
      </w:r>
      <w:r w:rsidR="00C93F5D" w:rsidRPr="0025579A">
        <w:rPr>
          <w:i/>
          <w:lang w:val="en-US"/>
        </w:rPr>
        <w:t>n</w:t>
      </w:r>
      <w:r w:rsidR="00C93F5D">
        <w:t xml:space="preserve"> и давления </w:t>
      </w:r>
      <w:r w:rsidR="00C93F5D" w:rsidRPr="00BA2A96">
        <w:t>-</w:t>
      </w:r>
      <w:r w:rsidR="00C93F5D" w:rsidRPr="0025579A">
        <w:rPr>
          <w:i/>
          <w:lang w:val="en-US"/>
        </w:rPr>
        <w:t>Rp</w:t>
      </w:r>
      <w:r w:rsidR="00C93F5D" w:rsidRPr="00614649">
        <w:rPr>
          <w:lang w:val="en-US"/>
        </w:rPr>
        <w:sym w:font="Symbol" w:char="F0A2"/>
      </w:r>
      <w:r w:rsidR="00C93F5D" w:rsidRPr="00614649">
        <w:t>/</w:t>
      </w:r>
      <w:r w:rsidR="00C93F5D" w:rsidRPr="0025579A">
        <w:rPr>
          <w:i/>
          <w:lang w:val="en-US"/>
        </w:rPr>
        <w:t>p</w:t>
      </w:r>
      <w:r w:rsidR="00C93F5D">
        <w:t xml:space="preserve"> в разные моменты времени с градиентами канонических профилей плотности </w:t>
      </w:r>
      <w:r w:rsidR="00C93F5D" w:rsidRPr="00F7416B">
        <w:t>-</w:t>
      </w:r>
      <w:r w:rsidR="00C93F5D" w:rsidRPr="0025579A">
        <w:rPr>
          <w:i/>
          <w:lang w:val="en-US"/>
        </w:rPr>
        <w:t>Rn</w:t>
      </w:r>
      <w:r w:rsidR="00C93F5D" w:rsidRPr="0025579A">
        <w:rPr>
          <w:i/>
          <w:vertAlign w:val="subscript"/>
          <w:lang w:val="en-US"/>
        </w:rPr>
        <w:t>c</w:t>
      </w:r>
      <w:r w:rsidR="00C93F5D">
        <w:rPr>
          <w:lang w:val="en-US"/>
        </w:rPr>
        <w:sym w:font="Symbol" w:char="F0A2"/>
      </w:r>
      <w:r w:rsidR="00C93F5D" w:rsidRPr="00F7416B">
        <w:t>/</w:t>
      </w:r>
      <w:r w:rsidR="00C93F5D" w:rsidRPr="0025579A">
        <w:rPr>
          <w:i/>
          <w:lang w:val="en-US"/>
        </w:rPr>
        <w:t>n</w:t>
      </w:r>
      <w:r w:rsidR="00C93F5D" w:rsidRPr="0025579A">
        <w:rPr>
          <w:i/>
          <w:vertAlign w:val="subscript"/>
          <w:lang w:val="en-US"/>
        </w:rPr>
        <w:t>c</w:t>
      </w:r>
      <w:r w:rsidR="00C93F5D">
        <w:t xml:space="preserve"> и давления </w:t>
      </w:r>
      <w:r w:rsidR="00C93F5D" w:rsidRPr="00F7416B">
        <w:t>-</w:t>
      </w:r>
      <w:r w:rsidR="00C93F5D" w:rsidRPr="0025579A">
        <w:rPr>
          <w:i/>
          <w:lang w:val="en-US"/>
        </w:rPr>
        <w:t>Rp</w:t>
      </w:r>
      <w:r w:rsidR="00C93F5D" w:rsidRPr="0025579A">
        <w:rPr>
          <w:i/>
          <w:vertAlign w:val="subscript"/>
          <w:lang w:val="en-US"/>
        </w:rPr>
        <w:t>c</w:t>
      </w:r>
      <w:r w:rsidR="00C93F5D">
        <w:rPr>
          <w:lang w:val="en-US"/>
        </w:rPr>
        <w:sym w:font="Symbol" w:char="F0A2"/>
      </w:r>
      <w:r w:rsidR="00C93F5D" w:rsidRPr="00F7416B">
        <w:t>/</w:t>
      </w:r>
      <w:r w:rsidR="00C93F5D" w:rsidRPr="0025579A">
        <w:rPr>
          <w:i/>
          <w:lang w:val="en-US"/>
        </w:rPr>
        <w:t>p</w:t>
      </w:r>
      <w:r w:rsidR="00C93F5D" w:rsidRPr="0025579A">
        <w:rPr>
          <w:i/>
          <w:vertAlign w:val="subscript"/>
          <w:lang w:val="en-US"/>
        </w:rPr>
        <w:t>c</w:t>
      </w:r>
      <w:r w:rsidR="00C93F5D">
        <w:t>. Видно, что перед включением ЭЦР (</w:t>
      </w:r>
      <w:r w:rsidR="00C93F5D" w:rsidRPr="0025579A">
        <w:rPr>
          <w:i/>
          <w:lang w:val="en-US"/>
        </w:rPr>
        <w:t>t</w:t>
      </w:r>
      <w:r w:rsidR="00C93F5D">
        <w:t xml:space="preserve"> = 0</w:t>
      </w:r>
      <w:r w:rsidRPr="000603BE">
        <w:t>,</w:t>
      </w:r>
      <w:r w:rsidR="00C93F5D" w:rsidRPr="0014724F">
        <w:t xml:space="preserve">39 </w:t>
      </w:r>
      <w:r w:rsidR="00C93F5D">
        <w:t>с</w:t>
      </w:r>
      <w:r w:rsidR="00C93F5D" w:rsidRPr="0014724F">
        <w:t>)</w:t>
      </w:r>
      <w:r w:rsidR="00C93F5D" w:rsidRPr="004A37E6">
        <w:t xml:space="preserve"> </w:t>
      </w:r>
      <w:r w:rsidR="00C93F5D">
        <w:t xml:space="preserve">точки пересечения указанных кривых </w:t>
      </w:r>
      <w:r w:rsidR="00C93F5D" w:rsidRPr="0025579A">
        <w:rPr>
          <w:rFonts w:ascii="Symbol" w:hAnsi="Symbol"/>
        </w:rPr>
        <w:sym w:font="Symbol" w:char="F072"/>
      </w:r>
      <w:r w:rsidR="00C93F5D" w:rsidRPr="0025579A">
        <w:rPr>
          <w:i/>
          <w:vertAlign w:val="subscript"/>
          <w:lang w:val="en-US"/>
        </w:rPr>
        <w:t>n</w:t>
      </w:r>
      <w:r w:rsidR="00C93F5D">
        <w:t xml:space="preserve"> и</w:t>
      </w:r>
      <w:r w:rsidR="00C93F5D" w:rsidRPr="004A37E6">
        <w:t xml:space="preserve"> </w:t>
      </w:r>
      <w:r w:rsidR="00C93F5D" w:rsidRPr="0025579A">
        <w:rPr>
          <w:rFonts w:ascii="Symbol" w:hAnsi="Symbol"/>
        </w:rPr>
        <w:sym w:font="Symbol" w:char="F072"/>
      </w:r>
      <w:r w:rsidR="00C93F5D" w:rsidRPr="0025579A">
        <w:rPr>
          <w:i/>
          <w:vertAlign w:val="subscript"/>
          <w:lang w:val="en-US"/>
        </w:rPr>
        <w:t>p</w:t>
      </w:r>
      <w:r w:rsidR="00C93F5D">
        <w:t xml:space="preserve"> (заштрихованы) расположены в области </w:t>
      </w:r>
      <w:r w:rsidR="00C93F5D" w:rsidRPr="0025579A">
        <w:rPr>
          <w:rFonts w:ascii="Symbol" w:hAnsi="Symbol"/>
        </w:rPr>
        <w:t></w:t>
      </w:r>
      <w:r w:rsidR="00C93F5D">
        <w:t xml:space="preserve"> </w:t>
      </w:r>
      <w:r w:rsidR="00C93F5D" w:rsidRPr="0014724F">
        <w:t>~ 0</w:t>
      </w:r>
      <w:r w:rsidRPr="000603BE">
        <w:t>,</w:t>
      </w:r>
      <w:r w:rsidR="00C93F5D" w:rsidRPr="0014724F">
        <w:t xml:space="preserve">5 </w:t>
      </w:r>
      <w:r w:rsidR="00C93F5D">
        <w:t xml:space="preserve">(для плотности) и </w:t>
      </w:r>
      <w:r w:rsidR="00C93F5D" w:rsidRPr="0025579A">
        <w:rPr>
          <w:rFonts w:ascii="Symbol" w:hAnsi="Symbol"/>
        </w:rPr>
        <w:t></w:t>
      </w:r>
      <w:r w:rsidR="00C93F5D">
        <w:t xml:space="preserve"> ~ 0</w:t>
      </w:r>
      <w:r w:rsidRPr="000603BE">
        <w:t>,</w:t>
      </w:r>
      <w:r w:rsidR="00C93F5D">
        <w:t xml:space="preserve">4 </w:t>
      </w:r>
      <w:r w:rsidR="00C93F5D" w:rsidRPr="004A37E6">
        <w:t>(</w:t>
      </w:r>
      <w:r w:rsidR="00C93F5D">
        <w:t>для давления</w:t>
      </w:r>
      <w:r w:rsidR="00C93F5D" w:rsidRPr="004A37E6">
        <w:t>)</w:t>
      </w:r>
      <w:r w:rsidR="00C93F5D">
        <w:t>. После включения ЭЦР (</w:t>
      </w:r>
      <w:r w:rsidR="00C93F5D" w:rsidRPr="0025579A">
        <w:rPr>
          <w:i/>
          <w:lang w:val="en-US"/>
        </w:rPr>
        <w:t>t</w:t>
      </w:r>
      <w:r w:rsidR="00C93F5D" w:rsidRPr="004A37E6">
        <w:t xml:space="preserve"> = 0</w:t>
      </w:r>
      <w:r w:rsidRPr="000603BE">
        <w:t>,</w:t>
      </w:r>
      <w:r w:rsidR="00C93F5D" w:rsidRPr="004A37E6">
        <w:t xml:space="preserve">415 </w:t>
      </w:r>
      <w:r w:rsidR="00C93F5D">
        <w:t>с</w:t>
      </w:r>
      <w:r w:rsidR="00C93F5D" w:rsidRPr="004A37E6">
        <w:t xml:space="preserve">) </w:t>
      </w:r>
      <w:r w:rsidR="00C93F5D">
        <w:t xml:space="preserve">профиль давления пикируется, и точка пересечения </w:t>
      </w:r>
      <w:r w:rsidR="00C93F5D">
        <w:rPr>
          <w:rFonts w:ascii="Symbol" w:hAnsi="Symbol"/>
          <w:lang w:val="en-US"/>
        </w:rPr>
        <w:t></w:t>
      </w:r>
      <w:r w:rsidR="00C93F5D" w:rsidRPr="0025579A">
        <w:rPr>
          <w:i/>
          <w:vertAlign w:val="subscript"/>
          <w:lang w:val="en-US"/>
        </w:rPr>
        <w:t>p</w:t>
      </w:r>
      <w:r w:rsidR="00C93F5D">
        <w:t xml:space="preserve"> пропадает. Профиль плотности при этом практически не меняется и точка пересечения </w:t>
      </w:r>
      <w:r w:rsidR="00C93F5D">
        <w:rPr>
          <w:rFonts w:ascii="Symbol" w:hAnsi="Symbol"/>
          <w:lang w:val="en-US"/>
        </w:rPr>
        <w:t></w:t>
      </w:r>
      <w:r w:rsidR="00C93F5D" w:rsidRPr="0025579A">
        <w:rPr>
          <w:i/>
          <w:vertAlign w:val="subscript"/>
          <w:lang w:val="en-US"/>
        </w:rPr>
        <w:t>n</w:t>
      </w:r>
      <w:r w:rsidR="00C93F5D">
        <w:t xml:space="preserve"> остается на месте. Эта картина позволяет получить критерий перехода от хорошего удержания частиц к плохому и обратно. Если </w:t>
      </w:r>
      <w:r w:rsidR="00C93F5D">
        <w:rPr>
          <w:rFonts w:ascii="Symbol" w:hAnsi="Symbol"/>
          <w:lang w:val="en-US"/>
        </w:rPr>
        <w:t></w:t>
      </w:r>
      <w:r w:rsidR="00C93F5D" w:rsidRPr="0025579A">
        <w:rPr>
          <w:i/>
          <w:vertAlign w:val="subscript"/>
          <w:lang w:val="en-US"/>
        </w:rPr>
        <w:t>p</w:t>
      </w:r>
      <w:r w:rsidR="00C93F5D">
        <w:rPr>
          <w:vertAlign w:val="subscript"/>
        </w:rPr>
        <w:t xml:space="preserve"> </w:t>
      </w:r>
      <w:r w:rsidR="00C93F5D" w:rsidRPr="00FC2CBD">
        <w:t xml:space="preserve">начинает удовлетворять условию </w:t>
      </w:r>
      <w:r w:rsidR="00C93F5D" w:rsidRPr="0025579A">
        <w:rPr>
          <w:rFonts w:ascii="Symbol" w:hAnsi="Symbol"/>
        </w:rPr>
        <w:t></w:t>
      </w:r>
      <w:r w:rsidR="00C93F5D" w:rsidRPr="0025579A">
        <w:rPr>
          <w:i/>
          <w:vertAlign w:val="subscript"/>
          <w:lang w:val="en-US"/>
        </w:rPr>
        <w:t>p</w:t>
      </w:r>
      <w:r w:rsidR="00C93F5D">
        <w:t xml:space="preserve"> </w:t>
      </w:r>
      <w:r w:rsidR="00C93F5D" w:rsidRPr="009B6D5E">
        <w:t>&lt; 0</w:t>
      </w:r>
      <w:r w:rsidRPr="000603BE">
        <w:t>,</w:t>
      </w:r>
      <w:r w:rsidR="00C93F5D" w:rsidRPr="009B6D5E">
        <w:t>35 – 0</w:t>
      </w:r>
      <w:r w:rsidRPr="000603BE">
        <w:t>,</w:t>
      </w:r>
      <w:r w:rsidR="00C93F5D" w:rsidRPr="009B6D5E">
        <w:t xml:space="preserve">4, </w:t>
      </w:r>
      <w:r w:rsidR="00C93F5D">
        <w:t>то удержание</w:t>
      </w:r>
      <w:r w:rsidR="00C93F5D" w:rsidRPr="009B6D5E">
        <w:t xml:space="preserve"> </w:t>
      </w:r>
      <w:r w:rsidR="00C93F5D">
        <w:t>частиц ухудшается. Чем больше мощность ЭЦР, тем хуже становится удержание.</w:t>
      </w:r>
    </w:p>
    <w:p w:rsidR="00C93F5D" w:rsidRDefault="000603BE" w:rsidP="00082902">
      <w:pPr>
        <w:pStyle w:val="Zv-bodyreport"/>
        <w:spacing w:line="228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2.9pt;margin-top:74.55pt;width:268.75pt;height:200.95pt;z-index:-251658240">
            <v:imagedata r:id="rId8" o:title=""/>
            <w10:anchorlock/>
          </v:shape>
          <o:OLEObject Type="Embed" ProgID="Origin50.Graph" ShapeID="_x0000_s1027" DrawAspect="Content" ObjectID="_1512472646" r:id="rId9"/>
        </w:pict>
      </w:r>
      <w:r>
        <w:rPr>
          <w:noProof/>
        </w:rPr>
        <w:pict>
          <v:shape id="_x0000_s1028" type="#_x0000_t75" style="position:absolute;left:0;text-align:left;margin-left:247.85pt;margin-top:77.85pt;width:252.55pt;height:197.65pt;z-index:-251657216">
            <v:imagedata r:id="rId10" o:title=""/>
            <w10:anchorlock/>
          </v:shape>
          <o:OLEObject Type="Embed" ProgID="Origin50.Graph" ShapeID="_x0000_s1028" DrawAspect="Content" ObjectID="_1512472647" r:id="rId11"/>
        </w:pict>
      </w:r>
      <w:r w:rsidR="00C93F5D">
        <w:t xml:space="preserve">В </w:t>
      </w:r>
      <w:r w:rsidR="00C93F5D" w:rsidRPr="0025579A">
        <w:t>транспортную</w:t>
      </w:r>
      <w:r w:rsidR="00C93F5D">
        <w:t xml:space="preserve"> модель канонических профилей для плотности плазмы </w:t>
      </w:r>
      <w:r w:rsidR="00C93F5D" w:rsidRPr="00E36B94">
        <w:t>[1</w:t>
      </w:r>
      <w:r w:rsidR="00C93F5D">
        <w:t>, 2</w:t>
      </w:r>
      <w:r w:rsidR="00C93F5D" w:rsidRPr="00E36B94">
        <w:t>]</w:t>
      </w:r>
      <w:r w:rsidR="00C93F5D">
        <w:t xml:space="preserve"> были внесены изменения, подобные внесенным в </w:t>
      </w:r>
      <w:r w:rsidR="00C93F5D" w:rsidRPr="00FC2CBD">
        <w:t>[2]</w:t>
      </w:r>
      <w:r w:rsidR="00C93F5D">
        <w:t xml:space="preserve">. В качестве исходных экспериментальных данных использовались абелизированные данные интерферометричских измерений. Результаты расчетов также приведены </w:t>
      </w:r>
      <w:r w:rsidR="00C93F5D" w:rsidRPr="00E36B94">
        <w:t>на Рис.</w:t>
      </w:r>
      <w:r w:rsidR="00C93F5D">
        <w:t xml:space="preserve"> </w:t>
      </w:r>
      <w:r w:rsidR="00C93F5D" w:rsidRPr="00E36B94">
        <w:t>1. Здесь сплошная верхняя кривая описывает эволюци</w:t>
      </w:r>
      <w:r w:rsidR="00C93F5D">
        <w:t>ю хордовой плотности, полученную</w:t>
      </w:r>
      <w:r w:rsidR="00C93F5D" w:rsidRPr="00E36B94">
        <w:t xml:space="preserve"> с помощью интегрирования расчетных профилей плотности. Сплошная нижняя кривая описывает </w:t>
      </w:r>
      <w:r w:rsidR="00C93F5D" w:rsidRPr="00E36B94">
        <w:rPr>
          <w:lang w:val="en-US"/>
        </w:rPr>
        <w:t>RMS</w:t>
      </w:r>
      <w:r w:rsidR="00C93F5D" w:rsidRPr="00E36B94">
        <w:t xml:space="preserve"> отклонения </w:t>
      </w:r>
      <w:r w:rsidR="00C93F5D" w:rsidRPr="0025579A">
        <w:rPr>
          <w:i/>
          <w:iCs/>
        </w:rPr>
        <w:t>d</w:t>
      </w:r>
      <w:r w:rsidR="00C93F5D" w:rsidRPr="00FC2CBD">
        <w:t>2</w:t>
      </w:r>
      <w:r w:rsidR="00C93F5D" w:rsidRPr="0025579A">
        <w:rPr>
          <w:i/>
          <w:iCs/>
        </w:rPr>
        <w:t>n</w:t>
      </w:r>
      <w:r w:rsidR="00C93F5D" w:rsidRPr="00FC2CBD">
        <w:t xml:space="preserve"> </w:t>
      </w:r>
      <w:r w:rsidR="00C93F5D" w:rsidRPr="00E36B94">
        <w:t xml:space="preserve">расчетных профилей плотности от экспериментальных профилей. </w:t>
      </w:r>
    </w:p>
    <w:p w:rsidR="00C93F5D" w:rsidRDefault="00C93F5D" w:rsidP="00DA48DD">
      <w:pPr>
        <w:pStyle w:val="Zv-bodyreport"/>
        <w:ind w:firstLine="0"/>
      </w:pPr>
    </w:p>
    <w:p w:rsidR="00C93F5D" w:rsidRDefault="00C93F5D" w:rsidP="00E123BF">
      <w:pPr>
        <w:pStyle w:val="Zv-bodyreport"/>
        <w:ind w:firstLine="0"/>
      </w:pPr>
    </w:p>
    <w:p w:rsidR="00C93F5D" w:rsidRDefault="00C93F5D" w:rsidP="00E123BF">
      <w:pPr>
        <w:pStyle w:val="Zv-bodyreport"/>
        <w:ind w:firstLine="0"/>
      </w:pPr>
    </w:p>
    <w:p w:rsidR="00C93F5D" w:rsidRDefault="00C93F5D" w:rsidP="00E123BF">
      <w:pPr>
        <w:pStyle w:val="Zv-bodyreport"/>
        <w:ind w:firstLine="0"/>
      </w:pPr>
    </w:p>
    <w:p w:rsidR="00C93F5D" w:rsidRDefault="00C93F5D" w:rsidP="00E123BF">
      <w:pPr>
        <w:pStyle w:val="Zv-bodyreport"/>
        <w:ind w:firstLine="0"/>
      </w:pPr>
    </w:p>
    <w:p w:rsidR="00C93F5D" w:rsidRDefault="00C93F5D" w:rsidP="00E123BF">
      <w:pPr>
        <w:pStyle w:val="Zv-bodyreport"/>
        <w:ind w:firstLine="0"/>
      </w:pPr>
    </w:p>
    <w:p w:rsidR="00C93F5D" w:rsidRDefault="00C93F5D" w:rsidP="00E123BF">
      <w:pPr>
        <w:pStyle w:val="Zv-bodyreport"/>
        <w:ind w:firstLine="0"/>
      </w:pPr>
    </w:p>
    <w:p w:rsidR="00C93F5D" w:rsidRDefault="00C93F5D" w:rsidP="00E123BF">
      <w:pPr>
        <w:pStyle w:val="Zv-bodyreport"/>
        <w:ind w:firstLine="0"/>
      </w:pPr>
    </w:p>
    <w:p w:rsidR="00C93F5D" w:rsidRDefault="00C93F5D" w:rsidP="00E123BF">
      <w:pPr>
        <w:pStyle w:val="Zv-bodyreport"/>
        <w:ind w:firstLine="0"/>
      </w:pPr>
    </w:p>
    <w:p w:rsidR="00C93F5D" w:rsidRDefault="00C93F5D" w:rsidP="00E123BF">
      <w:pPr>
        <w:pStyle w:val="Zv-bodyreport"/>
        <w:ind w:firstLine="0"/>
      </w:pPr>
    </w:p>
    <w:p w:rsidR="00C93F5D" w:rsidRDefault="00C93F5D" w:rsidP="00DA48DD">
      <w:pPr>
        <w:pStyle w:val="Zv-bodyreport"/>
        <w:spacing w:before="120" w:after="120"/>
        <w:ind w:firstLine="0"/>
      </w:pPr>
    </w:p>
    <w:p w:rsidR="00C93F5D" w:rsidRDefault="00C93F5D" w:rsidP="000603BE">
      <w:pPr>
        <w:pStyle w:val="Zv-bodyreport"/>
        <w:tabs>
          <w:tab w:val="left" w:pos="6379"/>
        </w:tabs>
        <w:ind w:left="708" w:firstLine="708"/>
      </w:pPr>
      <w:r>
        <w:t>Рис. 1.</w:t>
      </w:r>
      <w:r>
        <w:tab/>
        <w:t>Рис. 2.</w:t>
      </w:r>
    </w:p>
    <w:p w:rsidR="00C93F5D" w:rsidRPr="00082902" w:rsidRDefault="00C93F5D" w:rsidP="00082902">
      <w:pPr>
        <w:pStyle w:val="Zv-TitleReferences-ru"/>
      </w:pPr>
      <w:r w:rsidRPr="00082902">
        <w:t>Литература</w:t>
      </w:r>
    </w:p>
    <w:p w:rsidR="00C93F5D" w:rsidRDefault="00C93F5D" w:rsidP="00E123BF">
      <w:pPr>
        <w:pStyle w:val="Zv-References-ru"/>
      </w:pPr>
      <w:r w:rsidRPr="000F589F">
        <w:t>Ю.Н.</w:t>
      </w:r>
      <w:r w:rsidR="00082902" w:rsidRPr="000603BE">
        <w:t xml:space="preserve"> </w:t>
      </w:r>
      <w:r w:rsidRPr="000F589F">
        <w:t>Днестровский, Самоорганизация горячей плазмы. НИЦ</w:t>
      </w:r>
      <w:r w:rsidRPr="00E123BF">
        <w:t xml:space="preserve"> </w:t>
      </w:r>
      <w:r>
        <w:t>«</w:t>
      </w:r>
      <w:r w:rsidRPr="000F589F">
        <w:t>Курчатовский</w:t>
      </w:r>
      <w:r w:rsidRPr="00E123BF">
        <w:t xml:space="preserve"> </w:t>
      </w:r>
      <w:r w:rsidRPr="000F589F">
        <w:t>институт</w:t>
      </w:r>
      <w:r>
        <w:t>»</w:t>
      </w:r>
      <w:r w:rsidRPr="00E123BF">
        <w:t xml:space="preserve">, 2013, 173 </w:t>
      </w:r>
      <w:r w:rsidRPr="000F589F">
        <w:t>с</w:t>
      </w:r>
      <w:r w:rsidRPr="00E123BF">
        <w:t xml:space="preserve">. </w:t>
      </w:r>
    </w:p>
    <w:p w:rsidR="00C93F5D" w:rsidRPr="000603BE" w:rsidRDefault="00C93F5D" w:rsidP="000603BE">
      <w:pPr>
        <w:pStyle w:val="Zv-References-ru"/>
      </w:pPr>
      <w:r w:rsidRPr="000F589F">
        <w:t>Ю.Н.</w:t>
      </w:r>
      <w:r w:rsidR="00082902" w:rsidRPr="000603BE">
        <w:t xml:space="preserve"> </w:t>
      </w:r>
      <w:r w:rsidRPr="000F589F">
        <w:t xml:space="preserve">Днестровский, </w:t>
      </w:r>
      <w:r>
        <w:t>В.А.</w:t>
      </w:r>
      <w:r w:rsidR="00082902" w:rsidRPr="000603BE">
        <w:t xml:space="preserve"> </w:t>
      </w:r>
      <w:r>
        <w:t>Вершков, А.В.</w:t>
      </w:r>
      <w:r w:rsidR="00082902" w:rsidRPr="000603BE">
        <w:t xml:space="preserve"> </w:t>
      </w:r>
      <w:r>
        <w:t>Данилов и др., Физика Плазмы, 2016, принята к печати.</w:t>
      </w:r>
    </w:p>
    <w:sectPr w:rsidR="00C93F5D" w:rsidRPr="000603BE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F5D" w:rsidRDefault="00C93F5D">
      <w:r>
        <w:separator/>
      </w:r>
    </w:p>
  </w:endnote>
  <w:endnote w:type="continuationSeparator" w:id="0">
    <w:p w:rsidR="00C93F5D" w:rsidRDefault="00C93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F5D" w:rsidRDefault="00C93F5D" w:rsidP="00654A7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3F5D" w:rsidRDefault="00C93F5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F5D" w:rsidRDefault="00C93F5D" w:rsidP="00654A7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603BE">
      <w:rPr>
        <w:rStyle w:val="a9"/>
        <w:noProof/>
      </w:rPr>
      <w:t>1</w:t>
    </w:r>
    <w:r>
      <w:rPr>
        <w:rStyle w:val="a9"/>
      </w:rPr>
      <w:fldChar w:fldCharType="end"/>
    </w:r>
  </w:p>
  <w:p w:rsidR="00C93F5D" w:rsidRDefault="00C93F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F5D" w:rsidRDefault="00C93F5D">
      <w:r>
        <w:separator/>
      </w:r>
    </w:p>
  </w:footnote>
  <w:footnote w:type="continuationSeparator" w:id="0">
    <w:p w:rsidR="00C93F5D" w:rsidRDefault="00C93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F5D" w:rsidRDefault="00C93F5D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25579A">
      <w:rPr>
        <w:sz w:val="20"/>
      </w:rPr>
      <w:t>8</w:t>
    </w:r>
    <w:r>
      <w:rPr>
        <w:sz w:val="20"/>
      </w:rPr>
      <w:t xml:space="preserve"> – 1</w:t>
    </w:r>
    <w:r w:rsidRPr="0025579A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25579A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C93F5D" w:rsidRDefault="000603BE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20E9"/>
    <w:rsid w:val="00043701"/>
    <w:rsid w:val="000603BE"/>
    <w:rsid w:val="00082902"/>
    <w:rsid w:val="00096046"/>
    <w:rsid w:val="000C3B4D"/>
    <w:rsid w:val="000C7078"/>
    <w:rsid w:val="000D76E9"/>
    <w:rsid w:val="000E495B"/>
    <w:rsid w:val="000F589F"/>
    <w:rsid w:val="00100B46"/>
    <w:rsid w:val="0014724F"/>
    <w:rsid w:val="0015625A"/>
    <w:rsid w:val="001C0CCB"/>
    <w:rsid w:val="0021707D"/>
    <w:rsid w:val="00220629"/>
    <w:rsid w:val="00247225"/>
    <w:rsid w:val="0025579A"/>
    <w:rsid w:val="002E239C"/>
    <w:rsid w:val="002F20E6"/>
    <w:rsid w:val="00331CCB"/>
    <w:rsid w:val="003800F3"/>
    <w:rsid w:val="003A4B35"/>
    <w:rsid w:val="003B5B93"/>
    <w:rsid w:val="003C0E7C"/>
    <w:rsid w:val="003C1B47"/>
    <w:rsid w:val="00401388"/>
    <w:rsid w:val="0041372E"/>
    <w:rsid w:val="00442914"/>
    <w:rsid w:val="00446025"/>
    <w:rsid w:val="00447ABC"/>
    <w:rsid w:val="00491407"/>
    <w:rsid w:val="004A37E6"/>
    <w:rsid w:val="004A77D1"/>
    <w:rsid w:val="004B72AA"/>
    <w:rsid w:val="004F4E29"/>
    <w:rsid w:val="00542FA1"/>
    <w:rsid w:val="00546AAD"/>
    <w:rsid w:val="00567C6F"/>
    <w:rsid w:val="00570642"/>
    <w:rsid w:val="00583A89"/>
    <w:rsid w:val="0058676C"/>
    <w:rsid w:val="005B35B5"/>
    <w:rsid w:val="005F4889"/>
    <w:rsid w:val="00614649"/>
    <w:rsid w:val="00654A7B"/>
    <w:rsid w:val="006575F1"/>
    <w:rsid w:val="00681A11"/>
    <w:rsid w:val="00732A2E"/>
    <w:rsid w:val="007A0DD0"/>
    <w:rsid w:val="007A171C"/>
    <w:rsid w:val="007B6378"/>
    <w:rsid w:val="00802D35"/>
    <w:rsid w:val="00810A81"/>
    <w:rsid w:val="00836F6F"/>
    <w:rsid w:val="008803C1"/>
    <w:rsid w:val="0089797F"/>
    <w:rsid w:val="008E7FAC"/>
    <w:rsid w:val="009B6D5E"/>
    <w:rsid w:val="009C6BC4"/>
    <w:rsid w:val="00AC3D62"/>
    <w:rsid w:val="00AE3D4B"/>
    <w:rsid w:val="00B02A80"/>
    <w:rsid w:val="00B32F3F"/>
    <w:rsid w:val="00B622ED"/>
    <w:rsid w:val="00B8040E"/>
    <w:rsid w:val="00B9584E"/>
    <w:rsid w:val="00BA2A96"/>
    <w:rsid w:val="00C04390"/>
    <w:rsid w:val="00C103CD"/>
    <w:rsid w:val="00C232A0"/>
    <w:rsid w:val="00C93F5D"/>
    <w:rsid w:val="00CE1814"/>
    <w:rsid w:val="00D2416C"/>
    <w:rsid w:val="00D27D8F"/>
    <w:rsid w:val="00D47F19"/>
    <w:rsid w:val="00D86296"/>
    <w:rsid w:val="00DA005C"/>
    <w:rsid w:val="00DA1F46"/>
    <w:rsid w:val="00DA48DD"/>
    <w:rsid w:val="00E0692A"/>
    <w:rsid w:val="00E123BF"/>
    <w:rsid w:val="00E1331D"/>
    <w:rsid w:val="00E36B94"/>
    <w:rsid w:val="00E54A26"/>
    <w:rsid w:val="00E7021A"/>
    <w:rsid w:val="00E87733"/>
    <w:rsid w:val="00F202DF"/>
    <w:rsid w:val="00F7416B"/>
    <w:rsid w:val="00F74399"/>
    <w:rsid w:val="00F95123"/>
    <w:rsid w:val="00FC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5">
    <w:name w:val="Основной текст Знак"/>
    <w:basedOn w:val="a0"/>
    <w:link w:val="a6"/>
    <w:uiPriority w:val="99"/>
    <w:locked/>
    <w:rsid w:val="00DA48DD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link w:val="a5"/>
    <w:uiPriority w:val="99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25579A"/>
    <w:rPr>
      <w:rFonts w:cs="Times New Roman"/>
      <w:color w:val="0000FF"/>
      <w:u w:val="single"/>
    </w:rPr>
  </w:style>
  <w:style w:type="character" w:styleId="ab">
    <w:name w:val="annotation reference"/>
    <w:basedOn w:val="a0"/>
    <w:uiPriority w:val="99"/>
    <w:rsid w:val="00E123BF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E123B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E123BF"/>
    <w:rPr>
      <w:b/>
      <w:bCs/>
    </w:rPr>
  </w:style>
  <w:style w:type="character" w:customStyle="1" w:styleId="ad">
    <w:name w:val="Текст примечания Знак"/>
    <w:basedOn w:val="a0"/>
    <w:link w:val="ac"/>
    <w:uiPriority w:val="99"/>
    <w:locked/>
    <w:rsid w:val="00E123BF"/>
    <w:rPr>
      <w:rFonts w:cs="Times New Roman"/>
    </w:rPr>
  </w:style>
  <w:style w:type="paragraph" w:styleId="af0">
    <w:name w:val="Balloon Text"/>
    <w:basedOn w:val="a"/>
    <w:link w:val="af1"/>
    <w:uiPriority w:val="99"/>
    <w:rsid w:val="00E123BF"/>
    <w:rPr>
      <w:rFonts w:ascii="Tahoma" w:hAnsi="Tahoma" w:cs="Tahoma"/>
      <w:sz w:val="16"/>
      <w:szCs w:val="16"/>
    </w:rPr>
  </w:style>
  <w:style w:type="character" w:customStyle="1" w:styleId="af">
    <w:name w:val="Тема примечания Знак"/>
    <w:basedOn w:val="ad"/>
    <w:link w:val="ae"/>
    <w:uiPriority w:val="99"/>
    <w:locked/>
    <w:rsid w:val="00E123BF"/>
    <w:rPr>
      <w:b/>
      <w:bCs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A48DD"/>
    <w:rPr>
      <w:rFonts w:cs="Times New Roman"/>
      <w:sz w:val="24"/>
      <w:szCs w:val="24"/>
    </w:rPr>
  </w:style>
  <w:style w:type="character" w:customStyle="1" w:styleId="af1">
    <w:name w:val="Текст выноски Знак"/>
    <w:basedOn w:val="a0"/>
    <w:link w:val="af0"/>
    <w:uiPriority w:val="99"/>
    <w:locked/>
    <w:rsid w:val="00E12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nestrovskiy_YN@nrcki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11</TotalTime>
  <Pages>1</Pages>
  <Words>366</Words>
  <Characters>2232</Characters>
  <Application>Microsoft Office Word</Application>
  <DocSecurity>0</DocSecurity>
  <Lines>48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метода канонических профилей для описания поведения плотности плазмы при ЭЦР нагреве на Т-10</dc:title>
  <dc:subject/>
  <dc:creator>Сергей Сатунин</dc:creator>
  <cp:keywords/>
  <dc:description/>
  <cp:lastModifiedBy>Сергей Сатунин</cp:lastModifiedBy>
  <cp:revision>2</cp:revision>
  <dcterms:created xsi:type="dcterms:W3CDTF">2015-12-24T11:31:00Z</dcterms:created>
  <dcterms:modified xsi:type="dcterms:W3CDTF">2015-12-24T11:31:00Z</dcterms:modified>
</cp:coreProperties>
</file>