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90" w:rsidRDefault="00880B90" w:rsidP="00880B90">
      <w:pPr>
        <w:pStyle w:val="Zv-Titlereport"/>
        <w:rPr>
          <w:lang w:val="en-US"/>
        </w:rPr>
      </w:pPr>
      <w:bookmarkStart w:id="0" w:name="OLE_LINK20"/>
      <w:bookmarkStart w:id="1" w:name="OLE_LINK21"/>
      <w:r>
        <w:rPr>
          <w:lang w:val="en-US"/>
        </w:rPr>
        <w:t>Structure of plasma flows in tokamak in dissipative MHD model</w:t>
      </w:r>
      <w:bookmarkEnd w:id="0"/>
      <w:bookmarkEnd w:id="1"/>
    </w:p>
    <w:p w:rsidR="00880B90" w:rsidRDefault="00880B90" w:rsidP="00880B90">
      <w:pPr>
        <w:pStyle w:val="Zv-Author"/>
        <w:rPr>
          <w:u w:val="single"/>
          <w:lang w:val="en-US"/>
        </w:rPr>
      </w:pPr>
      <w:r w:rsidRPr="00637AAD">
        <w:rPr>
          <w:u w:val="single"/>
          <w:lang w:val="en-US"/>
        </w:rPr>
        <w:t>D.S. Badin</w:t>
      </w:r>
    </w:p>
    <w:p w:rsidR="00880B90" w:rsidRPr="003D7847" w:rsidRDefault="00880B90" w:rsidP="00880B90">
      <w:pPr>
        <w:pStyle w:val="Zv-Organization"/>
        <w:rPr>
          <w:lang w:val="en-US"/>
        </w:rPr>
      </w:pPr>
      <w:r w:rsidRPr="003D7847">
        <w:rPr>
          <w:szCs w:val="24"/>
          <w:lang w:val="en-US"/>
        </w:rPr>
        <w:t>Moscow Power Engineering Institute, Moscow, Russia</w:t>
      </w:r>
      <w:r>
        <w:rPr>
          <w:lang w:val="en-US"/>
        </w:rPr>
        <w:t xml:space="preserve">, </w:t>
      </w:r>
      <w:hyperlink r:id="rId7" w:history="1">
        <w:r w:rsidRPr="00E0692A">
          <w:rPr>
            <w:rStyle w:val="a7"/>
            <w:lang w:val="en-US"/>
          </w:rPr>
          <w:t>fobos2204@gmail.com</w:t>
        </w:r>
      </w:hyperlink>
    </w:p>
    <w:p w:rsidR="00880B90" w:rsidRDefault="00880B90" w:rsidP="00880B90">
      <w:pPr>
        <w:pStyle w:val="Zv-bodyreport"/>
        <w:rPr>
          <w:lang w:val="en-US"/>
        </w:rPr>
      </w:pPr>
      <w:r>
        <w:rPr>
          <w:lang w:val="en-US"/>
        </w:rPr>
        <w:t>Many modern tokamak experiments demonstrate self-</w:t>
      </w:r>
      <w:r w:rsidRPr="00670DA7">
        <w:rPr>
          <w:lang w:val="en-US"/>
        </w:rPr>
        <w:t>consistent development of plasma flows</w:t>
      </w:r>
      <w:r>
        <w:rPr>
          <w:lang w:val="en-US"/>
        </w:rPr>
        <w:t>, moreover, large toroidal plasma velocities (up to several km/</w:t>
      </w:r>
      <w:r w:rsidRPr="00670DA7">
        <w:rPr>
          <w:lang w:val="en-US"/>
        </w:rPr>
        <w:t xml:space="preserve">s) </w:t>
      </w:r>
      <w:r>
        <w:rPr>
          <w:lang w:val="en-US"/>
        </w:rPr>
        <w:t>are observed</w:t>
      </w:r>
      <w:r w:rsidRPr="00670DA7">
        <w:rPr>
          <w:lang w:val="en-US"/>
        </w:rPr>
        <w:t xml:space="preserve"> even in the absence of external sources of momentum [1,</w:t>
      </w:r>
      <w:r w:rsidRPr="003D7847">
        <w:rPr>
          <w:lang w:val="en-US"/>
        </w:rPr>
        <w:t xml:space="preserve"> </w:t>
      </w:r>
      <w:r w:rsidRPr="00670DA7">
        <w:rPr>
          <w:lang w:val="en-US"/>
        </w:rPr>
        <w:t>2].</w:t>
      </w:r>
      <w:r>
        <w:rPr>
          <w:lang w:val="en-US"/>
        </w:rPr>
        <w:t xml:space="preserve"> A number of mechanisms were proposed for explanation of such flows. </w:t>
      </w:r>
      <w:r w:rsidRPr="00670DA7">
        <w:rPr>
          <w:lang w:val="en-US"/>
        </w:rPr>
        <w:t>In particular, in</w:t>
      </w:r>
      <w:r>
        <w:rPr>
          <w:lang w:val="en-US"/>
        </w:rPr>
        <w:t xml:space="preserve"> papers [3,</w:t>
      </w:r>
      <w:r w:rsidRPr="003D7847">
        <w:rPr>
          <w:lang w:val="en-US"/>
        </w:rPr>
        <w:t xml:space="preserve"> </w:t>
      </w:r>
      <w:r>
        <w:rPr>
          <w:lang w:val="en-US"/>
        </w:rPr>
        <w:t xml:space="preserve">4] </w:t>
      </w:r>
      <w:r w:rsidRPr="00670DA7">
        <w:rPr>
          <w:lang w:val="en-US"/>
        </w:rPr>
        <w:t>the plasma</w:t>
      </w:r>
      <w:r>
        <w:rPr>
          <w:lang w:val="en-US"/>
        </w:rPr>
        <w:t xml:space="preserve"> flows occurred naturally in </w:t>
      </w:r>
      <w:r w:rsidRPr="00670DA7">
        <w:rPr>
          <w:lang w:val="en-US"/>
        </w:rPr>
        <w:t xml:space="preserve">numerical </w:t>
      </w:r>
      <w:r>
        <w:rPr>
          <w:lang w:val="en-US"/>
        </w:rPr>
        <w:t>solution of equations of the single</w:t>
      </w:r>
      <w:r w:rsidRPr="00670DA7">
        <w:rPr>
          <w:lang w:val="en-US"/>
        </w:rPr>
        <w:t xml:space="preserve">-fluid MHD with allowance for dissipative effects (viscosity and resistivity). </w:t>
      </w:r>
      <w:r w:rsidRPr="0098042A">
        <w:rPr>
          <w:lang w:val="en-US"/>
        </w:rPr>
        <w:t xml:space="preserve">It is believed that such a mechanism can be </w:t>
      </w:r>
      <w:r>
        <w:rPr>
          <w:lang w:val="en-US"/>
        </w:rPr>
        <w:t xml:space="preserve">present </w:t>
      </w:r>
      <w:r w:rsidRPr="0098042A">
        <w:rPr>
          <w:lang w:val="en-US"/>
        </w:rPr>
        <w:t>indeed in existing tokamaks, but due to roughness</w:t>
      </w:r>
      <w:r>
        <w:rPr>
          <w:lang w:val="en-US"/>
        </w:rPr>
        <w:t xml:space="preserve"> of the</w:t>
      </w:r>
      <w:r w:rsidRPr="0098042A">
        <w:rPr>
          <w:lang w:val="en-US"/>
        </w:rPr>
        <w:t xml:space="preserve"> model</w:t>
      </w:r>
      <w:r>
        <w:rPr>
          <w:lang w:val="en-US"/>
        </w:rPr>
        <w:t xml:space="preserve"> </w:t>
      </w:r>
      <w:r w:rsidRPr="0098042A">
        <w:rPr>
          <w:lang w:val="en-US"/>
        </w:rPr>
        <w:t xml:space="preserve">an exact match between theory and experiment should not </w:t>
      </w:r>
      <w:r>
        <w:rPr>
          <w:lang w:val="en-US"/>
        </w:rPr>
        <w:t xml:space="preserve">be </w:t>
      </w:r>
      <w:r w:rsidRPr="0098042A">
        <w:rPr>
          <w:lang w:val="en-US"/>
        </w:rPr>
        <w:t>expect</w:t>
      </w:r>
      <w:r>
        <w:rPr>
          <w:lang w:val="en-US"/>
        </w:rPr>
        <w:t>ed.</w:t>
      </w:r>
    </w:p>
    <w:p w:rsidR="00880B90" w:rsidRPr="00637AAD" w:rsidRDefault="00880B90" w:rsidP="00880B90">
      <w:pPr>
        <w:pStyle w:val="Zv-bodyreport"/>
        <w:rPr>
          <w:lang w:val="en-US"/>
        </w:rPr>
      </w:pPr>
      <w:r w:rsidRPr="00670DA7">
        <w:rPr>
          <w:lang w:val="en-US"/>
        </w:rPr>
        <w:t xml:space="preserve">This paper </w:t>
      </w:r>
      <w:r>
        <w:rPr>
          <w:lang w:val="en-US"/>
        </w:rPr>
        <w:t>bring</w:t>
      </w:r>
      <w:r w:rsidRPr="00670DA7">
        <w:rPr>
          <w:lang w:val="en-US"/>
        </w:rPr>
        <w:t xml:space="preserve">s </w:t>
      </w:r>
      <w:r>
        <w:rPr>
          <w:lang w:val="en-US"/>
        </w:rPr>
        <w:t>an</w:t>
      </w:r>
      <w:r w:rsidRPr="00670DA7">
        <w:rPr>
          <w:lang w:val="en-US"/>
        </w:rPr>
        <w:t xml:space="preserve"> analytical basis for the numerical results of [3,</w:t>
      </w:r>
      <w:r w:rsidRPr="003D7847">
        <w:rPr>
          <w:lang w:val="en-US"/>
        </w:rPr>
        <w:t xml:space="preserve"> </w:t>
      </w:r>
      <w:r w:rsidRPr="00670DA7">
        <w:rPr>
          <w:lang w:val="en-US"/>
        </w:rPr>
        <w:t xml:space="preserve">4] and </w:t>
      </w:r>
      <w:r>
        <w:rPr>
          <w:lang w:val="en-US"/>
        </w:rPr>
        <w:t>generalizes</w:t>
      </w:r>
      <w:r w:rsidRPr="00670DA7">
        <w:rPr>
          <w:lang w:val="en-US"/>
        </w:rPr>
        <w:t xml:space="preserve"> them. We </w:t>
      </w:r>
      <w:r>
        <w:rPr>
          <w:lang w:val="en-US"/>
        </w:rPr>
        <w:t>studied</w:t>
      </w:r>
      <w:r w:rsidRPr="00670DA7">
        <w:rPr>
          <w:lang w:val="en-US"/>
        </w:rPr>
        <w:t xml:space="preserve"> the system of </w:t>
      </w:r>
      <w:r>
        <w:rPr>
          <w:lang w:val="en-US"/>
        </w:rPr>
        <w:t>stationary</w:t>
      </w:r>
      <w:r w:rsidRPr="00670DA7">
        <w:rPr>
          <w:lang w:val="en-US"/>
        </w:rPr>
        <w:t xml:space="preserve"> equations of</w:t>
      </w:r>
      <w:r>
        <w:rPr>
          <w:lang w:val="en-US"/>
        </w:rPr>
        <w:t xml:space="preserve"> single-fluid </w:t>
      </w:r>
      <w:r w:rsidRPr="00670DA7">
        <w:rPr>
          <w:lang w:val="en-US"/>
        </w:rPr>
        <w:t>dissipative MHD in toroid</w:t>
      </w:r>
      <w:r>
        <w:rPr>
          <w:lang w:val="en-US"/>
        </w:rPr>
        <w:t>al geometry with axial symmetry and</w:t>
      </w:r>
      <w:r w:rsidRPr="0098042A">
        <w:rPr>
          <w:lang w:val="en-US"/>
        </w:rPr>
        <w:t xml:space="preserve"> </w:t>
      </w:r>
      <w:r>
        <w:rPr>
          <w:lang w:val="en-US"/>
        </w:rPr>
        <w:t>b</w:t>
      </w:r>
      <w:r w:rsidRPr="0098042A">
        <w:rPr>
          <w:lang w:val="en-US"/>
        </w:rPr>
        <w:t xml:space="preserve">uilt its solution </w:t>
      </w:r>
      <w:r>
        <w:rPr>
          <w:lang w:val="en-US"/>
        </w:rPr>
        <w:t xml:space="preserve">by </w:t>
      </w:r>
      <w:r w:rsidRPr="0098042A">
        <w:rPr>
          <w:lang w:val="en-US"/>
        </w:rPr>
        <w:t>method of successive approximations in the form of a seri</w:t>
      </w:r>
      <w:r>
        <w:rPr>
          <w:lang w:val="en-US"/>
        </w:rPr>
        <w:t>es in the small parameter ε - in</w:t>
      </w:r>
      <w:r w:rsidRPr="0098042A">
        <w:rPr>
          <w:lang w:val="en-US"/>
        </w:rPr>
        <w:t>verse aspe</w:t>
      </w:r>
      <w:r>
        <w:rPr>
          <w:lang w:val="en-US"/>
        </w:rPr>
        <w:t>ct ratio. It was found that for</w:t>
      </w:r>
      <w:r w:rsidRPr="0098042A">
        <w:rPr>
          <w:lang w:val="en-US"/>
        </w:rPr>
        <w:t xml:space="preserve"> incompressible plasma flow</w:t>
      </w:r>
      <w:r>
        <w:rPr>
          <w:lang w:val="en-US"/>
        </w:rPr>
        <w:t>s are</w:t>
      </w:r>
      <w:r w:rsidRPr="0098042A">
        <w:rPr>
          <w:lang w:val="en-US"/>
        </w:rPr>
        <w:t xml:space="preserve"> described by the following formulas (for </w:t>
      </w:r>
      <w:r>
        <w:rPr>
          <w:lang w:val="en-US"/>
        </w:rPr>
        <w:t xml:space="preserve">tokamak with </w:t>
      </w:r>
      <w:r w:rsidRPr="0098042A">
        <w:rPr>
          <w:lang w:val="en-US"/>
        </w:rPr>
        <w:t>circular cross-section)</w:t>
      </w:r>
      <w:r>
        <w:rPr>
          <w:lang w:val="en-US"/>
        </w:rPr>
        <w:t>:</w:t>
      </w:r>
    </w:p>
    <w:p w:rsidR="00880B90" w:rsidRPr="00637AAD" w:rsidRDefault="00880B90" w:rsidP="00880B90">
      <w:pPr>
        <w:pStyle w:val="Zv-formula"/>
      </w:pPr>
      <w:r>
        <w:rPr>
          <w:noProof/>
        </w:rPr>
        <w:drawing>
          <wp:inline distT="0" distB="0" distL="0" distR="0">
            <wp:extent cx="1257300" cy="1714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90" w:rsidRDefault="00880B90" w:rsidP="00880B90">
      <w:pPr>
        <w:pStyle w:val="Zv-formula"/>
      </w:pPr>
      <w:r>
        <w:rPr>
          <w:noProof/>
        </w:rPr>
        <w:drawing>
          <wp:inline distT="0" distB="0" distL="0" distR="0">
            <wp:extent cx="1838325" cy="314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90" w:rsidRDefault="00880B90" w:rsidP="00880B90">
      <w:pPr>
        <w:pStyle w:val="Zv-formula"/>
      </w:pPr>
      <w:r>
        <w:rPr>
          <w:noProof/>
        </w:rPr>
        <w:drawing>
          <wp:inline distT="0" distB="0" distL="0" distR="0">
            <wp:extent cx="2857500" cy="3619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90" w:rsidRDefault="00880B90" w:rsidP="00880B90">
      <w:pPr>
        <w:pStyle w:val="Zv-bodyreportcont"/>
        <w:rPr>
          <w:lang w:val="en-US"/>
        </w:rPr>
      </w:pPr>
      <w:r>
        <w:rPr>
          <w:lang w:val="en-US"/>
        </w:rPr>
        <w:t>Here</w:t>
      </w:r>
      <w:r w:rsidRPr="0098042A">
        <w:rPr>
          <w:lang w:val="en-US"/>
        </w:rPr>
        <w:t xml:space="preserve"> </w:t>
      </w:r>
      <w:r w:rsidRPr="00A00BB0">
        <w:rPr>
          <w:lang w:val="en-US"/>
        </w:rPr>
        <w:fldChar w:fldCharType="begin"/>
      </w:r>
      <w:r w:rsidRPr="00A00BB0">
        <w:rPr>
          <w:lang w:val="en-US"/>
        </w:rPr>
        <w:instrText xml:space="preserve"> QUOTE </w:instrText>
      </w:r>
      <w:r>
        <w:rPr>
          <w:noProof/>
        </w:rPr>
        <w:drawing>
          <wp:inline distT="0" distB="0" distL="0" distR="0">
            <wp:extent cx="428625" cy="304800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instrText xml:space="preserve"> </w:instrText>
      </w:r>
      <w:r w:rsidRPr="00A00BB0">
        <w:rPr>
          <w:lang w:val="en-US"/>
        </w:rPr>
        <w:fldChar w:fldCharType="separate"/>
      </w:r>
      <w:r>
        <w:rPr>
          <w:noProof/>
        </w:rPr>
        <w:drawing>
          <wp:inline distT="0" distB="0" distL="0" distR="0">
            <wp:extent cx="428625" cy="304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fldChar w:fldCharType="end"/>
      </w:r>
      <w:r>
        <w:rPr>
          <w:lang w:val="en-US"/>
        </w:rPr>
        <w:t xml:space="preserve"> is the</w:t>
      </w:r>
      <w:r w:rsidRPr="0098042A">
        <w:rPr>
          <w:lang w:val="en-US"/>
        </w:rPr>
        <w:t xml:space="preserve"> inverse aspect ratio, </w:t>
      </w:r>
      <w:r w:rsidRPr="00A00BB0">
        <w:rPr>
          <w:lang w:val="en-US"/>
        </w:rPr>
        <w:fldChar w:fldCharType="begin"/>
      </w:r>
      <w:r w:rsidRPr="00A00BB0">
        <w:rPr>
          <w:lang w:val="en-US"/>
        </w:rPr>
        <w:instrText xml:space="preserve"> QUOTE </w:instrText>
      </w:r>
      <w:r>
        <w:rPr>
          <w:noProof/>
        </w:rPr>
        <w:drawing>
          <wp:inline distT="0" distB="0" distL="0" distR="0">
            <wp:extent cx="133350" cy="1714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instrText xml:space="preserve"> </w:instrText>
      </w:r>
      <w:r w:rsidRPr="00A00BB0">
        <w:rPr>
          <w:lang w:val="en-US"/>
        </w:rPr>
        <w:fldChar w:fldCharType="separate"/>
      </w:r>
      <w:r>
        <w:rPr>
          <w:noProof/>
        </w:rPr>
        <w:drawing>
          <wp:inline distT="0" distB="0" distL="0" distR="0">
            <wp:extent cx="133350" cy="1714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fldChar w:fldCharType="end"/>
      </w:r>
      <w:r>
        <w:rPr>
          <w:lang w:val="en-US"/>
        </w:rPr>
        <w:t>is the</w:t>
      </w:r>
      <w:r w:rsidRPr="0098042A">
        <w:rPr>
          <w:lang w:val="en-US"/>
        </w:rPr>
        <w:t xml:space="preserve"> small radius, </w:t>
      </w:r>
      <w:r w:rsidRPr="00A00BB0">
        <w:rPr>
          <w:lang w:val="en-US"/>
        </w:rPr>
        <w:fldChar w:fldCharType="begin"/>
      </w:r>
      <w:r w:rsidRPr="00A00BB0">
        <w:rPr>
          <w:lang w:val="en-US"/>
        </w:rPr>
        <w:instrText xml:space="preserve"> QUOTE </w:instrText>
      </w:r>
      <w:r>
        <w:rPr>
          <w:noProof/>
        </w:rPr>
        <w:drawing>
          <wp:inline distT="0" distB="0" distL="0" distR="0">
            <wp:extent cx="190500" cy="1428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instrText xml:space="preserve"> </w:instrText>
      </w:r>
      <w:r w:rsidRPr="00A00BB0">
        <w:rPr>
          <w:lang w:val="en-US"/>
        </w:rPr>
        <w:fldChar w:fldCharType="separate"/>
      </w:r>
      <w:r>
        <w:rPr>
          <w:noProof/>
        </w:rPr>
        <w:drawing>
          <wp:inline distT="0" distB="0" distL="0" distR="0">
            <wp:extent cx="190500" cy="1428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fldChar w:fldCharType="end"/>
      </w:r>
      <w:r>
        <w:rPr>
          <w:lang w:val="en-US"/>
        </w:rPr>
        <w:t>is the</w:t>
      </w:r>
      <w:r w:rsidRPr="0098042A">
        <w:rPr>
          <w:lang w:val="en-US"/>
        </w:rPr>
        <w:t xml:space="preserve"> large radius, </w:t>
      </w:r>
      <w:r w:rsidRPr="00A00BB0">
        <w:rPr>
          <w:lang w:val="en-US"/>
        </w:rPr>
        <w:fldChar w:fldCharType="begin"/>
      </w:r>
      <w:r w:rsidRPr="00A00BB0">
        <w:rPr>
          <w:lang w:val="en-US"/>
        </w:rPr>
        <w:instrText xml:space="preserve"> QUOTE </w:instrText>
      </w:r>
      <w:r>
        <w:rPr>
          <w:noProof/>
        </w:rPr>
        <w:drawing>
          <wp:inline distT="0" distB="0" distL="0" distR="0">
            <wp:extent cx="123825" cy="1714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instrText xml:space="preserve"> </w:instrText>
      </w:r>
      <w:r w:rsidRPr="00A00BB0">
        <w:rPr>
          <w:lang w:val="en-US"/>
        </w:rPr>
        <w:fldChar w:fldCharType="separate"/>
      </w:r>
      <w:r>
        <w:rPr>
          <w:noProof/>
        </w:rPr>
        <w:drawing>
          <wp:inline distT="0" distB="0" distL="0" distR="0">
            <wp:extent cx="123825" cy="1714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fldChar w:fldCharType="end"/>
      </w:r>
      <w:r>
        <w:rPr>
          <w:lang w:val="en-US"/>
        </w:rPr>
        <w:t>is the</w:t>
      </w:r>
      <w:r w:rsidRPr="0098042A">
        <w:rPr>
          <w:lang w:val="en-US"/>
        </w:rPr>
        <w:t xml:space="preserve"> radial coordinate, </w:t>
      </w:r>
      <w:r w:rsidRPr="00A00BB0">
        <w:rPr>
          <w:lang w:val="en-US"/>
        </w:rPr>
        <w:fldChar w:fldCharType="begin"/>
      </w:r>
      <w:r w:rsidRPr="00A00BB0">
        <w:rPr>
          <w:lang w:val="en-US"/>
        </w:rPr>
        <w:instrText xml:space="preserve"> QUOTE </w:instrText>
      </w:r>
      <w:r>
        <w:rPr>
          <w:noProof/>
        </w:rPr>
        <w:drawing>
          <wp:inline distT="0" distB="0" distL="0" distR="0">
            <wp:extent cx="133350" cy="17145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instrText xml:space="preserve"> </w:instrText>
      </w:r>
      <w:r w:rsidRPr="00A00BB0">
        <w:rPr>
          <w:lang w:val="en-US"/>
        </w:rPr>
        <w:fldChar w:fldCharType="separate"/>
      </w:r>
      <w:r>
        <w:rPr>
          <w:noProof/>
        </w:rPr>
        <w:drawing>
          <wp:inline distT="0" distB="0" distL="0" distR="0">
            <wp:extent cx="133350" cy="1714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fldChar w:fldCharType="end"/>
      </w:r>
      <w:r>
        <w:rPr>
          <w:lang w:val="en-US"/>
        </w:rPr>
        <w:t>is the</w:t>
      </w:r>
      <w:r w:rsidRPr="0098042A">
        <w:rPr>
          <w:lang w:val="en-US"/>
        </w:rPr>
        <w:t xml:space="preserve"> poloidal angle</w:t>
      </w:r>
      <w:r>
        <w:rPr>
          <w:lang w:val="en-US"/>
        </w:rPr>
        <w:t xml:space="preserve">, </w:t>
      </w:r>
      <w:r w:rsidRPr="00A00BB0">
        <w:rPr>
          <w:lang w:val="en-US"/>
        </w:rPr>
        <w:fldChar w:fldCharType="begin"/>
      </w:r>
      <w:r w:rsidRPr="00A00BB0">
        <w:rPr>
          <w:lang w:val="en-US"/>
        </w:rPr>
        <w:instrText xml:space="preserve"> QUOTE </w:instrText>
      </w:r>
      <w:r>
        <w:rPr>
          <w:noProof/>
        </w:rPr>
        <w:drawing>
          <wp:inline distT="0" distB="0" distL="0" distR="0">
            <wp:extent cx="152400" cy="1714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instrText xml:space="preserve"> </w:instrText>
      </w:r>
      <w:r w:rsidRPr="00A00BB0">
        <w:rPr>
          <w:lang w:val="en-US"/>
        </w:rPr>
        <w:fldChar w:fldCharType="separate"/>
      </w:r>
      <w:r>
        <w:rPr>
          <w:noProof/>
        </w:rPr>
        <w:drawing>
          <wp:inline distT="0" distB="0" distL="0" distR="0">
            <wp:extent cx="152400" cy="17145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BB0">
        <w:rPr>
          <w:lang w:val="en-US"/>
        </w:rPr>
        <w:fldChar w:fldCharType="end"/>
      </w:r>
      <w:r>
        <w:rPr>
          <w:lang w:val="en-US"/>
        </w:rPr>
        <w:t>is the</w:t>
      </w:r>
      <w:r w:rsidRPr="0098042A">
        <w:rPr>
          <w:lang w:val="en-US"/>
        </w:rPr>
        <w:t xml:space="preserve"> </w:t>
      </w:r>
      <w:r>
        <w:rPr>
          <w:lang w:val="en-US"/>
        </w:rPr>
        <w:t>toroida</w:t>
      </w:r>
      <w:r w:rsidRPr="0098042A">
        <w:rPr>
          <w:lang w:val="en-US"/>
        </w:rPr>
        <w:t xml:space="preserve">l angle. </w:t>
      </w:r>
      <w:r>
        <w:rPr>
          <w:lang w:val="en-US"/>
        </w:rPr>
        <w:t xml:space="preserve">We also </w:t>
      </w:r>
      <w:r w:rsidRPr="0098042A">
        <w:rPr>
          <w:lang w:val="en-US"/>
        </w:rPr>
        <w:t>built a solution</w:t>
      </w:r>
      <w:r>
        <w:rPr>
          <w:lang w:val="en-US"/>
        </w:rPr>
        <w:t xml:space="preserve"> of the system</w:t>
      </w:r>
      <w:r w:rsidRPr="0098042A">
        <w:rPr>
          <w:lang w:val="en-US"/>
        </w:rPr>
        <w:t xml:space="preserve"> for the case of</w:t>
      </w:r>
      <w:r>
        <w:rPr>
          <w:lang w:val="en-US"/>
        </w:rPr>
        <w:t xml:space="preserve"> tokamak with asymmetric cross section and showed</w:t>
      </w:r>
      <w:r w:rsidRPr="0098042A">
        <w:rPr>
          <w:lang w:val="en-US"/>
        </w:rPr>
        <w:t xml:space="preserve"> that in this case the integral of toroidal angular momentum</w:t>
      </w:r>
      <w:r>
        <w:rPr>
          <w:lang w:val="en-US"/>
        </w:rPr>
        <w:t xml:space="preserve"> is not equal to zero</w:t>
      </w:r>
      <w:r w:rsidRPr="0098042A">
        <w:rPr>
          <w:lang w:val="en-US"/>
        </w:rPr>
        <w:t>, which is in good agreement with numerical calculations and experimental data.</w:t>
      </w:r>
    </w:p>
    <w:p w:rsidR="00880B90" w:rsidRPr="00F766DB" w:rsidRDefault="00880B90" w:rsidP="00880B90">
      <w:pPr>
        <w:pStyle w:val="Zv-TitleReferences-en"/>
      </w:pPr>
      <w:r>
        <w:rPr>
          <w:lang w:val="en-US"/>
        </w:rPr>
        <w:t>References</w:t>
      </w:r>
    </w:p>
    <w:p w:rsidR="00880B90" w:rsidRPr="00AC0308" w:rsidRDefault="00880B90" w:rsidP="00880B90">
      <w:pPr>
        <w:pStyle w:val="Zv-References-en"/>
      </w:pPr>
      <w:r>
        <w:t>Camenen</w:t>
      </w:r>
      <w:r w:rsidRPr="00AC0308">
        <w:t xml:space="preserve"> </w:t>
      </w:r>
      <w:r>
        <w:t>Y., Peeters A.G., Angioni C., Casson F.J., Hornsby W.A., Snodin A.P., Strinzi D. Physical Review</w:t>
      </w:r>
      <w:r w:rsidRPr="00AC0308">
        <w:t xml:space="preserve"> </w:t>
      </w:r>
      <w:r>
        <w:t>Letters, 2009,</w:t>
      </w:r>
      <w:r w:rsidRPr="00AC0308">
        <w:t xml:space="preserve"> </w:t>
      </w:r>
      <w:r>
        <w:t xml:space="preserve">v. </w:t>
      </w:r>
      <w:r w:rsidRPr="00AC0308">
        <w:t>102</w:t>
      </w:r>
      <w:r>
        <w:t>, 125001.</w:t>
      </w:r>
    </w:p>
    <w:p w:rsidR="00880B90" w:rsidRPr="00AC0308" w:rsidRDefault="00880B90" w:rsidP="00880B90">
      <w:pPr>
        <w:pStyle w:val="Zv-References-en"/>
      </w:pPr>
      <w:r>
        <w:t>Camenen Y. et al. Plasma Physics and Controlled</w:t>
      </w:r>
      <w:r w:rsidRPr="00AC0308">
        <w:t xml:space="preserve"> </w:t>
      </w:r>
      <w:r>
        <w:t>Fusion</w:t>
      </w:r>
      <w:r w:rsidRPr="00AC0308">
        <w:t xml:space="preserve">, </w:t>
      </w:r>
      <w:r>
        <w:t xml:space="preserve">2010, v. </w:t>
      </w:r>
      <w:r w:rsidRPr="00AC0308">
        <w:t xml:space="preserve">52, </w:t>
      </w:r>
      <w:r>
        <w:t>124037.</w:t>
      </w:r>
    </w:p>
    <w:p w:rsidR="00880B90" w:rsidRDefault="00880B90" w:rsidP="00880B90">
      <w:pPr>
        <w:pStyle w:val="Zv-References-en"/>
      </w:pPr>
      <w:r>
        <w:t xml:space="preserve">Morales J.A., Bos W.J.T., Schneider K., </w:t>
      </w:r>
      <w:smartTag w:uri="urn:schemas-microsoft-com:office:smarttags" w:element="City">
        <w:smartTag w:uri="urn:schemas-microsoft-com:office:smarttags" w:element="City">
          <w:r>
            <w:t>Montgomery</w:t>
          </w:r>
        </w:smartTag>
        <w:r>
          <w:t xml:space="preserve"> </w:t>
        </w:r>
        <w:smartTag w:uri="urn:schemas-microsoft-com:office:smarttags" w:element="City">
          <w:r>
            <w:t>D.C.</w:t>
          </w:r>
        </w:smartTag>
      </w:smartTag>
      <w:r>
        <w:t xml:space="preserve"> Physical Review Letters, 2012, v. 109, 175002.</w:t>
      </w:r>
    </w:p>
    <w:p w:rsidR="00880B90" w:rsidRDefault="00880B90" w:rsidP="00880B90">
      <w:pPr>
        <w:pStyle w:val="Zv-References-en"/>
      </w:pPr>
      <w:r w:rsidRPr="00637AAD">
        <w:t xml:space="preserve">Morales J.A., Bos W.J.T., Schneider K., </w:t>
      </w:r>
      <w:smartTag w:uri="urn:schemas-microsoft-com:office:smarttags" w:element="City">
        <w:smartTag w:uri="urn:schemas-microsoft-com:office:smarttags" w:element="City">
          <w:r w:rsidRPr="00637AAD">
            <w:t>Montgomery</w:t>
          </w:r>
        </w:smartTag>
        <w:r w:rsidRPr="00637AAD">
          <w:t xml:space="preserve"> </w:t>
        </w:r>
        <w:smartTag w:uri="urn:schemas-microsoft-com:office:smarttags" w:element="City">
          <w:r w:rsidRPr="00637AAD">
            <w:t>D.C.</w:t>
          </w:r>
        </w:smartTag>
      </w:smartTag>
      <w:r w:rsidRPr="00637AAD">
        <w:t>, Physics of Plasmas, 2015, v. 22, 042515.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7"/>
      <w:footerReference w:type="even" r:id="rId18"/>
      <w:footerReference w:type="default" r:id="rId1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0B" w:rsidRDefault="00A1360B">
      <w:r>
        <w:separator/>
      </w:r>
    </w:p>
  </w:endnote>
  <w:endnote w:type="continuationSeparator" w:id="0">
    <w:p w:rsidR="00A1360B" w:rsidRDefault="00A13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25B4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25B4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0B9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0B" w:rsidRDefault="00A1360B">
      <w:r>
        <w:separator/>
      </w:r>
    </w:p>
  </w:footnote>
  <w:footnote w:type="continuationSeparator" w:id="0">
    <w:p w:rsidR="00A1360B" w:rsidRDefault="00A13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5F764D">
      <w:rPr>
        <w:sz w:val="20"/>
        <w:lang w:val="en-US"/>
      </w:rPr>
      <w:t>3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international conference on plasma physics and CF, February  </w:t>
    </w:r>
    <w:r w:rsidR="005F764D">
      <w:rPr>
        <w:sz w:val="20"/>
        <w:lang w:val="en-US"/>
      </w:rPr>
      <w:t>8</w:t>
    </w:r>
    <w:r w:rsidR="00EF07A9">
      <w:rPr>
        <w:sz w:val="20"/>
        <w:lang w:val="en-US"/>
      </w:rPr>
      <w:t xml:space="preserve"> – 1</w:t>
    </w:r>
    <w:r w:rsidR="005F764D">
      <w:rPr>
        <w:sz w:val="20"/>
        <w:lang w:val="en-US"/>
      </w:rPr>
      <w:t>2</w:t>
    </w:r>
    <w:r w:rsidR="00EF07A9">
      <w:rPr>
        <w:sz w:val="20"/>
        <w:lang w:val="en-US"/>
      </w:rPr>
      <w:t>, 201</w:t>
    </w:r>
    <w:r w:rsidR="005F764D">
      <w:rPr>
        <w:sz w:val="20"/>
        <w:lang w:val="en-US"/>
      </w:rPr>
      <w:t>6</w:t>
    </w:r>
    <w:r w:rsidR="00EF07A9">
      <w:rPr>
        <w:sz w:val="20"/>
        <w:lang w:val="en-US"/>
      </w:rPr>
      <w:t>, Zvenigorod</w:t>
    </w:r>
  </w:p>
  <w:p w:rsidR="00654A7B" w:rsidRDefault="00425B4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60B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A606B"/>
    <w:rsid w:val="003B5B93"/>
    <w:rsid w:val="003E0981"/>
    <w:rsid w:val="00401388"/>
    <w:rsid w:val="00425B47"/>
    <w:rsid w:val="00446025"/>
    <w:rsid w:val="004A77D1"/>
    <w:rsid w:val="004B72AA"/>
    <w:rsid w:val="004F4E29"/>
    <w:rsid w:val="00567C6F"/>
    <w:rsid w:val="00573BAD"/>
    <w:rsid w:val="0058676C"/>
    <w:rsid w:val="005F764D"/>
    <w:rsid w:val="00654A7B"/>
    <w:rsid w:val="00732A2E"/>
    <w:rsid w:val="007B6378"/>
    <w:rsid w:val="007E06CE"/>
    <w:rsid w:val="00802D35"/>
    <w:rsid w:val="00880B90"/>
    <w:rsid w:val="008850EF"/>
    <w:rsid w:val="00A1360B"/>
    <w:rsid w:val="00B622ED"/>
    <w:rsid w:val="00B9584E"/>
    <w:rsid w:val="00C103CD"/>
    <w:rsid w:val="00C232A0"/>
    <w:rsid w:val="00C5751F"/>
    <w:rsid w:val="00D47F19"/>
    <w:rsid w:val="00D900FB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uiPriority w:val="99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uiPriority w:val="99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qFormat/>
    <w:rsid w:val="00E7021A"/>
  </w:style>
  <w:style w:type="character" w:styleId="a7">
    <w:name w:val="Hyperlink"/>
    <w:basedOn w:val="a0"/>
    <w:uiPriority w:val="99"/>
    <w:rsid w:val="00880B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fobos2204@gmail.co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6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Zven_2016_e</Template>
  <TotalTime>2</TotalTime>
  <Pages>1</Pages>
  <Words>326</Words>
  <Characters>1939</Characters>
  <Application>Microsoft Office Word</Application>
  <DocSecurity>0</DocSecurity>
  <Lines>31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plasma flows in tokamak in dissipative MHD model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2016-01-09T21:23:00Z</dcterms:created>
  <dcterms:modified xsi:type="dcterms:W3CDTF">2016-01-09T21:25:00Z</dcterms:modified>
</cp:coreProperties>
</file>