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71" w:rsidRPr="00DA48DD" w:rsidRDefault="004D6E71" w:rsidP="004D6E71">
      <w:pPr>
        <w:pStyle w:val="Zv-Titlereport"/>
        <w:rPr>
          <w:lang w:val="en-US"/>
        </w:rPr>
      </w:pPr>
      <w:bookmarkStart w:id="0" w:name="OLE_LINK3"/>
      <w:bookmarkStart w:id="1" w:name="OLE_LINK4"/>
      <w:r>
        <w:rPr>
          <w:lang w:val="en-US"/>
        </w:rPr>
        <w:t>Application</w:t>
      </w:r>
      <w:r w:rsidRPr="00DA48DD">
        <w:rPr>
          <w:lang w:val="en-US"/>
        </w:rPr>
        <w:t xml:space="preserve"> </w:t>
      </w:r>
      <w:r>
        <w:rPr>
          <w:lang w:val="en-US"/>
        </w:rPr>
        <w:t>of</w:t>
      </w:r>
      <w:r w:rsidRPr="00DA48DD">
        <w:rPr>
          <w:lang w:val="en-US"/>
        </w:rPr>
        <w:t xml:space="preserve"> </w:t>
      </w:r>
      <w:r>
        <w:rPr>
          <w:lang w:val="en-US"/>
        </w:rPr>
        <w:t>canonical</w:t>
      </w:r>
      <w:r w:rsidRPr="00DA48DD">
        <w:rPr>
          <w:lang w:val="en-US"/>
        </w:rPr>
        <w:t xml:space="preserve"> </w:t>
      </w:r>
      <w:r>
        <w:rPr>
          <w:lang w:val="en-US"/>
        </w:rPr>
        <w:t>profiles</w:t>
      </w:r>
      <w:r w:rsidRPr="00DA48DD">
        <w:rPr>
          <w:lang w:val="en-US"/>
        </w:rPr>
        <w:t xml:space="preserve"> </w:t>
      </w:r>
      <w:r>
        <w:rPr>
          <w:lang w:val="en-US"/>
        </w:rPr>
        <w:t>model</w:t>
      </w:r>
      <w:r w:rsidRPr="00DA48DD">
        <w:rPr>
          <w:lang w:val="en-US"/>
        </w:rPr>
        <w:t xml:space="preserve"> </w:t>
      </w:r>
      <w:r>
        <w:rPr>
          <w:lang w:val="en-US"/>
        </w:rPr>
        <w:t>for</w:t>
      </w:r>
      <w:r w:rsidRPr="00DA48DD">
        <w:rPr>
          <w:lang w:val="en-US"/>
        </w:rPr>
        <w:t xml:space="preserve"> </w:t>
      </w:r>
      <w:r>
        <w:rPr>
          <w:lang w:val="en-US"/>
        </w:rPr>
        <w:t>description</w:t>
      </w:r>
      <w:r w:rsidRPr="00DA48DD">
        <w:rPr>
          <w:lang w:val="en-US"/>
        </w:rPr>
        <w:t xml:space="preserve"> </w:t>
      </w:r>
      <w:r>
        <w:rPr>
          <w:lang w:val="en-US"/>
        </w:rPr>
        <w:t>of</w:t>
      </w:r>
      <w:r w:rsidRPr="00DA48DD">
        <w:rPr>
          <w:lang w:val="en-US"/>
        </w:rPr>
        <w:t xml:space="preserve"> </w:t>
      </w:r>
      <w:r>
        <w:rPr>
          <w:lang w:val="en-US"/>
        </w:rPr>
        <w:t>density evolution during ECRH in T-10 tokamak</w:t>
      </w:r>
      <w:bookmarkEnd w:id="0"/>
      <w:bookmarkEnd w:id="1"/>
    </w:p>
    <w:p w:rsidR="004D6E71" w:rsidRPr="00DA48DD" w:rsidRDefault="004D6E71" w:rsidP="004D6E71">
      <w:pPr>
        <w:pStyle w:val="Zv-Author"/>
        <w:rPr>
          <w:lang w:val="en-US"/>
        </w:rPr>
      </w:pPr>
      <w:r w:rsidRPr="00DA48DD">
        <w:rPr>
          <w:bCs w:val="0"/>
          <w:iCs w:val="0"/>
          <w:u w:val="single"/>
          <w:lang w:val="en-US"/>
        </w:rPr>
        <w:t>Yu.N. Dnestrovskij</w:t>
      </w:r>
      <w:r w:rsidRPr="00DA48DD">
        <w:rPr>
          <w:lang w:val="en-US"/>
        </w:rPr>
        <w:t>, V.A. Vershkov, A.V. Danilov, A.Yu. Dnestrovskij, S.E. Lysenko, D.A. Schelukhin, G.F. Subbotin, and S.V. Cherkasov</w:t>
      </w:r>
    </w:p>
    <w:p w:rsidR="004D6E71" w:rsidRDefault="004D6E71" w:rsidP="004D6E71">
      <w:pPr>
        <w:pStyle w:val="Zv-Organization"/>
        <w:rPr>
          <w:lang w:val="en-US"/>
        </w:rPr>
      </w:pPr>
      <w:r w:rsidRPr="00FE6B59">
        <w:rPr>
          <w:szCs w:val="24"/>
          <w:lang w:val="en-US"/>
        </w:rPr>
        <w:t>National Research Centre Kurchatov Institute, Moscow, Russia</w:t>
      </w:r>
      <w:r w:rsidRPr="003A4B35">
        <w:rPr>
          <w:lang w:val="en-US"/>
        </w:rPr>
        <w:t xml:space="preserve">, </w:t>
      </w:r>
      <w:hyperlink r:id="rId7" w:history="1">
        <w:r w:rsidRPr="00E0692A">
          <w:rPr>
            <w:rStyle w:val="a8"/>
            <w:lang w:val="en-US"/>
          </w:rPr>
          <w:t>Dnestrovskiy_YN@nrcki.ru</w:t>
        </w:r>
      </w:hyperlink>
    </w:p>
    <w:p w:rsidR="004D6E71" w:rsidRPr="00D27D8F" w:rsidRDefault="004D6E71" w:rsidP="004D6E71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8E7FAC">
        <w:rPr>
          <w:lang w:val="en-US"/>
        </w:rPr>
        <w:t xml:space="preserve"> </w:t>
      </w:r>
      <w:r>
        <w:rPr>
          <w:lang w:val="en-US"/>
        </w:rPr>
        <w:t>evolution</w:t>
      </w:r>
      <w:r w:rsidRPr="008E7FAC">
        <w:rPr>
          <w:lang w:val="en-US"/>
        </w:rPr>
        <w:t xml:space="preserve"> </w:t>
      </w:r>
      <w:r>
        <w:rPr>
          <w:lang w:val="en-US"/>
        </w:rPr>
        <w:t>of</w:t>
      </w:r>
      <w:r w:rsidRPr="008E7FAC">
        <w:rPr>
          <w:lang w:val="en-US"/>
        </w:rPr>
        <w:t xml:space="preserve"> </w:t>
      </w:r>
      <w:r>
        <w:rPr>
          <w:lang w:val="en-US"/>
        </w:rPr>
        <w:t>density</w:t>
      </w:r>
      <w:r w:rsidRPr="008E7FAC">
        <w:rPr>
          <w:lang w:val="en-US"/>
        </w:rPr>
        <w:t xml:space="preserve"> </w:t>
      </w:r>
      <w:r>
        <w:rPr>
          <w:lang w:val="en-US"/>
        </w:rPr>
        <w:t>profile</w:t>
      </w:r>
      <w:r w:rsidRPr="008E7FAC">
        <w:rPr>
          <w:lang w:val="en-US"/>
        </w:rPr>
        <w:t xml:space="preserve"> </w:t>
      </w:r>
      <w:r>
        <w:rPr>
          <w:lang w:val="en-US"/>
        </w:rPr>
        <w:t>in</w:t>
      </w:r>
      <w:r w:rsidRPr="008E7FAC">
        <w:rPr>
          <w:lang w:val="en-US"/>
        </w:rPr>
        <w:t xml:space="preserve"> </w:t>
      </w:r>
      <w:r>
        <w:rPr>
          <w:lang w:val="en-US"/>
        </w:rPr>
        <w:t>series</w:t>
      </w:r>
      <w:r w:rsidRPr="008E7FAC">
        <w:rPr>
          <w:lang w:val="en-US"/>
        </w:rPr>
        <w:t xml:space="preserve"> </w:t>
      </w:r>
      <w:r>
        <w:rPr>
          <w:lang w:val="en-US"/>
        </w:rPr>
        <w:t>of</w:t>
      </w:r>
      <w:r w:rsidRPr="008E7FAC">
        <w:rPr>
          <w:lang w:val="en-US"/>
        </w:rPr>
        <w:t xml:space="preserve"> </w:t>
      </w:r>
      <w:r>
        <w:rPr>
          <w:lang w:val="en-US"/>
        </w:rPr>
        <w:t>ECRH shots of T-10 tokamak was simulated</w:t>
      </w:r>
      <w:r w:rsidRPr="008E7FAC">
        <w:rPr>
          <w:lang w:val="en-US"/>
        </w:rPr>
        <w:t xml:space="preserve">. </w:t>
      </w:r>
      <w:r>
        <w:rPr>
          <w:lang w:val="en-US"/>
        </w:rPr>
        <w:t>These</w:t>
      </w:r>
      <w:r w:rsidRPr="000420E9">
        <w:rPr>
          <w:lang w:val="en-US"/>
        </w:rPr>
        <w:t xml:space="preserve"> </w:t>
      </w:r>
      <w:r>
        <w:rPr>
          <w:lang w:val="en-US"/>
        </w:rPr>
        <w:t>shots</w:t>
      </w:r>
      <w:r w:rsidRPr="000420E9">
        <w:rPr>
          <w:lang w:val="en-US"/>
        </w:rPr>
        <w:t xml:space="preserve"> </w:t>
      </w:r>
      <w:r>
        <w:rPr>
          <w:lang w:val="en-US"/>
        </w:rPr>
        <w:t>have</w:t>
      </w:r>
      <w:r w:rsidRPr="000420E9">
        <w:rPr>
          <w:lang w:val="en-US"/>
        </w:rPr>
        <w:t xml:space="preserve"> </w:t>
      </w:r>
      <w:r>
        <w:rPr>
          <w:lang w:val="en-US"/>
        </w:rPr>
        <w:t>the</w:t>
      </w:r>
      <w:r w:rsidRPr="000420E9">
        <w:rPr>
          <w:lang w:val="en-US"/>
        </w:rPr>
        <w:t xml:space="preserve"> </w:t>
      </w:r>
      <w:r>
        <w:rPr>
          <w:lang w:val="en-US"/>
        </w:rPr>
        <w:t>current</w:t>
      </w:r>
      <w:r w:rsidRPr="000420E9">
        <w:rPr>
          <w:lang w:val="en-US"/>
        </w:rPr>
        <w:t xml:space="preserve"> </w:t>
      </w:r>
      <w:r w:rsidRPr="000420E9">
        <w:rPr>
          <w:i/>
          <w:lang w:val="en-US"/>
        </w:rPr>
        <w:t>I</w:t>
      </w:r>
      <w:r w:rsidRPr="000420E9">
        <w:rPr>
          <w:lang w:val="en-US"/>
        </w:rPr>
        <w:t xml:space="preserve"> = 0.2 MA, </w:t>
      </w:r>
      <w:r>
        <w:rPr>
          <w:lang w:val="en-US"/>
        </w:rPr>
        <w:t xml:space="preserve">magnetic filed </w:t>
      </w:r>
      <w:r w:rsidRPr="000420E9">
        <w:rPr>
          <w:i/>
          <w:lang w:val="en-US"/>
        </w:rPr>
        <w:t>B</w:t>
      </w:r>
      <w:r w:rsidRPr="000420E9">
        <w:rPr>
          <w:lang w:val="en-US"/>
        </w:rPr>
        <w:t xml:space="preserve"> = 2.3 T, </w:t>
      </w:r>
      <w:r>
        <w:rPr>
          <w:lang w:val="en-US"/>
        </w:rPr>
        <w:t xml:space="preserve">and unsteady plasma density, which was varied in the range </w:t>
      </w:r>
      <w:r>
        <w:sym w:font="Symbol" w:char="F060"/>
      </w:r>
      <w:r w:rsidRPr="0025579A">
        <w:rPr>
          <w:i/>
          <w:lang w:val="en-US"/>
        </w:rPr>
        <w:t>n</w:t>
      </w:r>
      <w:r w:rsidRPr="000420E9">
        <w:rPr>
          <w:i/>
          <w:lang w:val="en-US"/>
        </w:rPr>
        <w:t xml:space="preserve"> </w:t>
      </w:r>
      <w:r w:rsidRPr="000420E9">
        <w:rPr>
          <w:lang w:val="en-US"/>
        </w:rPr>
        <w:t>= 2.5 – 4.5</w:t>
      </w:r>
      <w:r>
        <w:rPr>
          <w:lang w:val="en-US"/>
        </w:rPr>
        <w:t> </w:t>
      </w:r>
      <w:r>
        <w:sym w:font="Symbol" w:char="F0B4"/>
      </w:r>
      <w:r>
        <w:rPr>
          <w:lang w:val="en-US"/>
        </w:rPr>
        <w:t> </w:t>
      </w:r>
      <w:r w:rsidRPr="000420E9">
        <w:rPr>
          <w:lang w:val="en-US"/>
        </w:rPr>
        <w:t>10</w:t>
      </w:r>
      <w:r w:rsidRPr="000420E9">
        <w:rPr>
          <w:vertAlign w:val="superscript"/>
          <w:lang w:val="en-US"/>
        </w:rPr>
        <w:t>19</w:t>
      </w:r>
      <w:r w:rsidRPr="000420E9">
        <w:rPr>
          <w:lang w:val="en-US"/>
        </w:rPr>
        <w:t xml:space="preserve"> </w:t>
      </w:r>
      <w:r>
        <w:rPr>
          <w:lang w:val="en-US"/>
        </w:rPr>
        <w:t>m</w:t>
      </w:r>
      <w:r>
        <w:rPr>
          <w:vertAlign w:val="superscript"/>
          <w:lang w:val="en-US"/>
        </w:rPr>
        <w:t>–</w:t>
      </w:r>
      <w:r w:rsidRPr="000420E9">
        <w:rPr>
          <w:vertAlign w:val="superscript"/>
          <w:lang w:val="en-US"/>
        </w:rPr>
        <w:t>3</w:t>
      </w:r>
      <w:r w:rsidRPr="000420E9">
        <w:rPr>
          <w:lang w:val="en-US"/>
        </w:rPr>
        <w:t xml:space="preserve">. </w:t>
      </w:r>
      <w:r>
        <w:rPr>
          <w:lang w:val="en-US"/>
        </w:rPr>
        <w:t>For</w:t>
      </w:r>
      <w:r w:rsidRPr="000420E9">
        <w:rPr>
          <w:lang w:val="en-US"/>
        </w:rPr>
        <w:t xml:space="preserve"> </w:t>
      </w:r>
      <w:r>
        <w:rPr>
          <w:lang w:val="en-US"/>
        </w:rPr>
        <w:t>the first</w:t>
      </w:r>
      <w:r w:rsidRPr="000420E9">
        <w:rPr>
          <w:lang w:val="en-US"/>
        </w:rPr>
        <w:t xml:space="preserve"> </w:t>
      </w:r>
      <w:r>
        <w:rPr>
          <w:lang w:val="en-US"/>
        </w:rPr>
        <w:t>group</w:t>
      </w:r>
      <w:r w:rsidRPr="000420E9">
        <w:rPr>
          <w:lang w:val="en-US"/>
        </w:rPr>
        <w:t xml:space="preserve"> </w:t>
      </w:r>
      <w:r>
        <w:rPr>
          <w:lang w:val="en-US"/>
        </w:rPr>
        <w:t>of</w:t>
      </w:r>
      <w:r w:rsidRPr="000420E9">
        <w:rPr>
          <w:lang w:val="en-US"/>
        </w:rPr>
        <w:t xml:space="preserve"> </w:t>
      </w:r>
      <w:r>
        <w:rPr>
          <w:lang w:val="en-US"/>
        </w:rPr>
        <w:t>shots</w:t>
      </w:r>
      <w:r w:rsidRPr="000420E9">
        <w:rPr>
          <w:lang w:val="en-US"/>
        </w:rPr>
        <w:t xml:space="preserve">, </w:t>
      </w:r>
      <w:r>
        <w:rPr>
          <w:lang w:val="en-US"/>
        </w:rPr>
        <w:t>ECRH</w:t>
      </w:r>
      <w:r w:rsidRPr="000420E9">
        <w:rPr>
          <w:lang w:val="en-US"/>
        </w:rPr>
        <w:t xml:space="preserve"> </w:t>
      </w:r>
      <w:r>
        <w:rPr>
          <w:lang w:val="en-US"/>
        </w:rPr>
        <w:t>switch</w:t>
      </w:r>
      <w:r w:rsidRPr="000420E9">
        <w:rPr>
          <w:lang w:val="en-US"/>
        </w:rPr>
        <w:t>-</w:t>
      </w:r>
      <w:r>
        <w:rPr>
          <w:lang w:val="en-US"/>
        </w:rPr>
        <w:t>on</w:t>
      </w:r>
      <w:r w:rsidRPr="000420E9">
        <w:rPr>
          <w:lang w:val="en-US"/>
        </w:rPr>
        <w:t xml:space="preserve"> </w:t>
      </w:r>
      <w:r>
        <w:rPr>
          <w:lang w:val="en-US"/>
        </w:rPr>
        <w:t>was at</w:t>
      </w:r>
      <w:r w:rsidRPr="000420E9">
        <w:rPr>
          <w:lang w:val="en-US"/>
        </w:rPr>
        <w:t xml:space="preserve"> </w:t>
      </w:r>
      <w:r>
        <w:rPr>
          <w:lang w:val="en-US"/>
        </w:rPr>
        <w:t>the</w:t>
      </w:r>
      <w:r w:rsidRPr="000420E9">
        <w:rPr>
          <w:lang w:val="en-US"/>
        </w:rPr>
        <w:t xml:space="preserve"> </w:t>
      </w:r>
      <w:r>
        <w:rPr>
          <w:lang w:val="en-US"/>
        </w:rPr>
        <w:t>steady state phase of discharge, and for the second group, ECRH</w:t>
      </w:r>
      <w:r w:rsidRPr="000420E9">
        <w:rPr>
          <w:lang w:val="en-US"/>
        </w:rPr>
        <w:t xml:space="preserve"> </w:t>
      </w:r>
      <w:r>
        <w:rPr>
          <w:lang w:val="en-US"/>
        </w:rPr>
        <w:t>switch</w:t>
      </w:r>
      <w:r w:rsidRPr="000420E9">
        <w:rPr>
          <w:lang w:val="en-US"/>
        </w:rPr>
        <w:t>-</w:t>
      </w:r>
      <w:r>
        <w:rPr>
          <w:lang w:val="en-US"/>
        </w:rPr>
        <w:t>on</w:t>
      </w:r>
      <w:r w:rsidRPr="000420E9">
        <w:rPr>
          <w:lang w:val="en-US"/>
        </w:rPr>
        <w:t xml:space="preserve"> </w:t>
      </w:r>
      <w:r>
        <w:rPr>
          <w:lang w:val="en-US"/>
        </w:rPr>
        <w:t>was</w:t>
      </w:r>
      <w:r w:rsidRPr="000420E9">
        <w:rPr>
          <w:lang w:val="en-US"/>
        </w:rPr>
        <w:t xml:space="preserve"> </w:t>
      </w:r>
      <w:r>
        <w:rPr>
          <w:lang w:val="en-US"/>
        </w:rPr>
        <w:t>during</w:t>
      </w:r>
      <w:r w:rsidRPr="000420E9">
        <w:rPr>
          <w:lang w:val="en-US"/>
        </w:rPr>
        <w:t xml:space="preserve"> </w:t>
      </w:r>
      <w:r>
        <w:rPr>
          <w:lang w:val="en-US"/>
        </w:rPr>
        <w:t>the</w:t>
      </w:r>
      <w:r w:rsidRPr="000420E9">
        <w:rPr>
          <w:lang w:val="en-US"/>
        </w:rPr>
        <w:t xml:space="preserve"> </w:t>
      </w:r>
      <w:r>
        <w:rPr>
          <w:lang w:val="en-US"/>
        </w:rPr>
        <w:t>density</w:t>
      </w:r>
      <w:r w:rsidRPr="000420E9">
        <w:rPr>
          <w:lang w:val="en-US"/>
        </w:rPr>
        <w:t xml:space="preserve"> </w:t>
      </w:r>
      <w:r>
        <w:rPr>
          <w:lang w:val="en-US"/>
        </w:rPr>
        <w:t>ramp</w:t>
      </w:r>
      <w:r w:rsidRPr="000420E9">
        <w:rPr>
          <w:lang w:val="en-US"/>
        </w:rPr>
        <w:t>-</w:t>
      </w:r>
      <w:r>
        <w:rPr>
          <w:lang w:val="en-US"/>
        </w:rPr>
        <w:t>up</w:t>
      </w:r>
      <w:r w:rsidRPr="000420E9">
        <w:rPr>
          <w:lang w:val="en-US"/>
        </w:rPr>
        <w:t xml:space="preserve">. </w:t>
      </w:r>
      <w:r>
        <w:rPr>
          <w:lang w:val="en-US"/>
        </w:rPr>
        <w:t>Behavior</w:t>
      </w:r>
      <w:r w:rsidRPr="00D27D8F">
        <w:rPr>
          <w:lang w:val="en-US"/>
        </w:rPr>
        <w:t xml:space="preserve"> </w:t>
      </w:r>
      <w:r>
        <w:rPr>
          <w:lang w:val="en-US"/>
        </w:rPr>
        <w:t>of</w:t>
      </w:r>
      <w:r w:rsidRPr="00D27D8F">
        <w:rPr>
          <w:lang w:val="en-US"/>
        </w:rPr>
        <w:t xml:space="preserve"> </w:t>
      </w:r>
      <w:r>
        <w:rPr>
          <w:lang w:val="en-US"/>
        </w:rPr>
        <w:t>the line</w:t>
      </w:r>
      <w:r w:rsidRPr="00D27D8F">
        <w:rPr>
          <w:lang w:val="en-US"/>
        </w:rPr>
        <w:t>-</w:t>
      </w:r>
      <w:r>
        <w:rPr>
          <w:lang w:val="en-US"/>
        </w:rPr>
        <w:t>averaged</w:t>
      </w:r>
      <w:r w:rsidRPr="00D27D8F">
        <w:rPr>
          <w:lang w:val="en-US"/>
        </w:rPr>
        <w:t xml:space="preserve"> </w:t>
      </w:r>
      <w:r>
        <w:rPr>
          <w:lang w:val="en-US"/>
        </w:rPr>
        <w:t>density</w:t>
      </w:r>
      <w:r w:rsidRPr="00D27D8F">
        <w:rPr>
          <w:lang w:val="en-US"/>
        </w:rPr>
        <w:t xml:space="preserve"> </w:t>
      </w:r>
      <w:r>
        <w:rPr>
          <w:lang w:val="en-US"/>
        </w:rPr>
        <w:t>in shot #</w:t>
      </w:r>
      <w:r w:rsidRPr="00D27D8F">
        <w:rPr>
          <w:lang w:val="en-US"/>
        </w:rPr>
        <w:t>66021</w:t>
      </w:r>
      <w:r>
        <w:rPr>
          <w:lang w:val="en-US"/>
        </w:rPr>
        <w:t>, when ECRH</w:t>
      </w:r>
      <w:r w:rsidRPr="00D27D8F">
        <w:rPr>
          <w:lang w:val="en-US"/>
        </w:rPr>
        <w:t xml:space="preserve"> </w:t>
      </w:r>
      <w:r>
        <w:rPr>
          <w:lang w:val="en-US"/>
        </w:rPr>
        <w:t>switch</w:t>
      </w:r>
      <w:r w:rsidRPr="00D27D8F">
        <w:rPr>
          <w:lang w:val="en-US"/>
        </w:rPr>
        <w:t>-</w:t>
      </w:r>
      <w:r>
        <w:rPr>
          <w:lang w:val="en-US"/>
        </w:rPr>
        <w:t>on</w:t>
      </w:r>
      <w:r w:rsidRPr="00D27D8F">
        <w:rPr>
          <w:lang w:val="en-US"/>
        </w:rPr>
        <w:t xml:space="preserve"> </w:t>
      </w:r>
      <w:r>
        <w:rPr>
          <w:lang w:val="en-US"/>
        </w:rPr>
        <w:t>was at</w:t>
      </w:r>
      <w:r w:rsidRPr="00D27D8F">
        <w:rPr>
          <w:lang w:val="en-US"/>
        </w:rPr>
        <w:t xml:space="preserve"> </w:t>
      </w:r>
      <w:r w:rsidRPr="00D27D8F">
        <w:rPr>
          <w:i/>
          <w:lang w:val="en-US"/>
        </w:rPr>
        <w:t>t</w:t>
      </w:r>
      <w:r w:rsidRPr="00D27D8F">
        <w:rPr>
          <w:lang w:val="en-US"/>
        </w:rPr>
        <w:t xml:space="preserve"> = 0.4 </w:t>
      </w:r>
      <w:r>
        <w:rPr>
          <w:lang w:val="en-US"/>
        </w:rPr>
        <w:t>s, i.e. during the density ramp-up produced by steady gas puffing is shown by dashed line in Fig. 1.</w:t>
      </w:r>
      <w:r w:rsidRPr="00D27D8F">
        <w:rPr>
          <w:lang w:val="en-US"/>
        </w:rPr>
        <w:t xml:space="preserve"> </w:t>
      </w:r>
      <w:r>
        <w:rPr>
          <w:lang w:val="en-US"/>
        </w:rPr>
        <w:t>We</w:t>
      </w:r>
      <w:r w:rsidRPr="00D27D8F">
        <w:rPr>
          <w:lang w:val="en-US"/>
        </w:rPr>
        <w:t xml:space="preserve"> </w:t>
      </w:r>
      <w:r>
        <w:rPr>
          <w:lang w:val="en-US"/>
        </w:rPr>
        <w:t>see</w:t>
      </w:r>
      <w:r w:rsidRPr="00D27D8F">
        <w:rPr>
          <w:lang w:val="en-US"/>
        </w:rPr>
        <w:t xml:space="preserve"> </w:t>
      </w:r>
      <w:r>
        <w:rPr>
          <w:lang w:val="en-US"/>
        </w:rPr>
        <w:t>that</w:t>
      </w:r>
      <w:r w:rsidRPr="00D27D8F">
        <w:rPr>
          <w:lang w:val="en-US"/>
        </w:rPr>
        <w:t xml:space="preserve"> </w:t>
      </w:r>
      <w:r>
        <w:rPr>
          <w:lang w:val="en-US"/>
        </w:rPr>
        <w:t>after</w:t>
      </w:r>
      <w:r w:rsidRPr="00D27D8F">
        <w:rPr>
          <w:lang w:val="en-US"/>
        </w:rPr>
        <w:t xml:space="preserve"> </w:t>
      </w:r>
      <w:r>
        <w:rPr>
          <w:lang w:val="en-US"/>
        </w:rPr>
        <w:t>start</w:t>
      </w:r>
      <w:r w:rsidRPr="00D27D8F">
        <w:rPr>
          <w:lang w:val="en-US"/>
        </w:rPr>
        <w:t xml:space="preserve"> </w:t>
      </w:r>
      <w:r>
        <w:rPr>
          <w:lang w:val="en-US"/>
        </w:rPr>
        <w:t>of</w:t>
      </w:r>
      <w:r w:rsidRPr="00D27D8F">
        <w:rPr>
          <w:lang w:val="en-US"/>
        </w:rPr>
        <w:t xml:space="preserve"> </w:t>
      </w:r>
      <w:r>
        <w:rPr>
          <w:lang w:val="en-US"/>
        </w:rPr>
        <w:t>ECRH</w:t>
      </w:r>
      <w:r w:rsidRPr="00D27D8F">
        <w:rPr>
          <w:lang w:val="en-US"/>
        </w:rPr>
        <w:t xml:space="preserve"> </w:t>
      </w:r>
      <w:r>
        <w:rPr>
          <w:lang w:val="en-US"/>
        </w:rPr>
        <w:t>the</w:t>
      </w:r>
      <w:r w:rsidRPr="00D27D8F">
        <w:rPr>
          <w:lang w:val="en-US"/>
        </w:rPr>
        <w:t xml:space="preserve"> </w:t>
      </w:r>
      <w:r>
        <w:rPr>
          <w:lang w:val="en-US"/>
        </w:rPr>
        <w:t>particle</w:t>
      </w:r>
      <w:r w:rsidRPr="00D27D8F">
        <w:rPr>
          <w:lang w:val="en-US"/>
        </w:rPr>
        <w:t xml:space="preserve"> </w:t>
      </w:r>
      <w:r>
        <w:rPr>
          <w:lang w:val="en-US"/>
        </w:rPr>
        <w:t>confinement is deteriorated and the density grow is saturated</w:t>
      </w:r>
      <w:r w:rsidRPr="00D27D8F">
        <w:rPr>
          <w:lang w:val="en-US"/>
        </w:rPr>
        <w:t>.</w:t>
      </w:r>
    </w:p>
    <w:p w:rsidR="004D6E71" w:rsidRPr="000C3B4D" w:rsidRDefault="004D6E71" w:rsidP="004D6E71">
      <w:pPr>
        <w:pStyle w:val="Zv-bodyreport"/>
        <w:rPr>
          <w:lang w:val="en-US"/>
        </w:rPr>
      </w:pPr>
      <w:r>
        <w:rPr>
          <w:bCs/>
          <w:lang w:val="en-US"/>
        </w:rPr>
        <w:t>Figure</w:t>
      </w:r>
      <w:r w:rsidRPr="0021707D">
        <w:rPr>
          <w:bCs/>
          <w:lang w:val="en-US"/>
        </w:rPr>
        <w:t xml:space="preserve"> 2 </w:t>
      </w:r>
      <w:r>
        <w:rPr>
          <w:bCs/>
          <w:lang w:val="en-US"/>
        </w:rPr>
        <w:t>presents</w:t>
      </w:r>
      <w:r w:rsidRPr="0021707D">
        <w:rPr>
          <w:bCs/>
          <w:lang w:val="en-US"/>
        </w:rPr>
        <w:t xml:space="preserve"> </w:t>
      </w:r>
      <w:r>
        <w:rPr>
          <w:bCs/>
          <w:lang w:val="en-US"/>
        </w:rPr>
        <w:t>comparison</w:t>
      </w:r>
      <w:r w:rsidRPr="0021707D">
        <w:rPr>
          <w:bCs/>
          <w:lang w:val="en-US"/>
        </w:rPr>
        <w:t xml:space="preserve"> </w:t>
      </w:r>
      <w:r>
        <w:rPr>
          <w:bCs/>
          <w:lang w:val="en-US"/>
        </w:rPr>
        <w:t>of</w:t>
      </w:r>
      <w:r w:rsidRPr="0021707D">
        <w:rPr>
          <w:bCs/>
          <w:lang w:val="en-US"/>
        </w:rPr>
        <w:t xml:space="preserve"> </w:t>
      </w:r>
      <w:r>
        <w:rPr>
          <w:bCs/>
          <w:lang w:val="en-US"/>
        </w:rPr>
        <w:t>the</w:t>
      </w:r>
      <w:r w:rsidRPr="0021707D">
        <w:rPr>
          <w:bCs/>
          <w:lang w:val="en-US"/>
        </w:rPr>
        <w:t xml:space="preserve"> </w:t>
      </w:r>
      <w:r>
        <w:rPr>
          <w:bCs/>
          <w:lang w:val="en-US"/>
        </w:rPr>
        <w:t>experimental</w:t>
      </w:r>
      <w:r w:rsidRPr="0021707D">
        <w:rPr>
          <w:bCs/>
          <w:lang w:val="en-US"/>
        </w:rPr>
        <w:t xml:space="preserve"> </w:t>
      </w:r>
      <w:r>
        <w:rPr>
          <w:bCs/>
          <w:lang w:val="en-US"/>
        </w:rPr>
        <w:t>dimensionless</w:t>
      </w:r>
      <w:r w:rsidRPr="0021707D">
        <w:rPr>
          <w:bCs/>
          <w:lang w:val="en-US"/>
        </w:rPr>
        <w:t xml:space="preserve"> </w:t>
      </w:r>
      <w:r>
        <w:rPr>
          <w:bCs/>
          <w:lang w:val="en-US"/>
        </w:rPr>
        <w:t>gradients</w:t>
      </w:r>
      <w:r w:rsidRPr="0021707D">
        <w:rPr>
          <w:bCs/>
          <w:lang w:val="en-US"/>
        </w:rPr>
        <w:t xml:space="preserve"> </w:t>
      </w:r>
      <w:r>
        <w:rPr>
          <w:bCs/>
          <w:lang w:val="en-US"/>
        </w:rPr>
        <w:t>of</w:t>
      </w:r>
      <w:r w:rsidRPr="0021707D">
        <w:rPr>
          <w:bCs/>
          <w:lang w:val="en-US"/>
        </w:rPr>
        <w:t xml:space="preserve"> </w:t>
      </w:r>
      <w:r>
        <w:rPr>
          <w:bCs/>
          <w:lang w:val="en-US"/>
        </w:rPr>
        <w:t>density</w:t>
      </w:r>
      <w:r w:rsidRPr="0021707D">
        <w:rPr>
          <w:bCs/>
          <w:lang w:val="en-US"/>
        </w:rPr>
        <w:t xml:space="preserve"> </w:t>
      </w:r>
      <w:r>
        <w:rPr>
          <w:bCs/>
          <w:lang w:val="en-US"/>
        </w:rPr>
        <w:t xml:space="preserve">and pressure </w:t>
      </w:r>
      <w:r w:rsidRPr="0021707D">
        <w:rPr>
          <w:lang w:val="en-US"/>
        </w:rPr>
        <w:t>-</w:t>
      </w:r>
      <w:r w:rsidRPr="0025579A">
        <w:rPr>
          <w:i/>
          <w:lang w:val="en-US"/>
        </w:rPr>
        <w:t>Rn</w:t>
      </w:r>
      <w:r w:rsidRPr="00614649">
        <w:rPr>
          <w:lang w:val="en-US"/>
        </w:rPr>
        <w:sym w:font="Symbol" w:char="F0A2"/>
      </w:r>
      <w:r w:rsidRPr="0021707D">
        <w:rPr>
          <w:lang w:val="en-US"/>
        </w:rPr>
        <w:t>/</w:t>
      </w:r>
      <w:r w:rsidRPr="0025579A">
        <w:rPr>
          <w:i/>
          <w:lang w:val="en-US"/>
        </w:rPr>
        <w:t>n</w:t>
      </w:r>
      <w:r w:rsidRPr="0021707D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21707D">
        <w:rPr>
          <w:lang w:val="en-US"/>
        </w:rPr>
        <w:t>-</w:t>
      </w:r>
      <w:r w:rsidRPr="0025579A">
        <w:rPr>
          <w:i/>
          <w:lang w:val="en-US"/>
        </w:rPr>
        <w:t>Rp</w:t>
      </w:r>
      <w:r w:rsidRPr="00614649">
        <w:rPr>
          <w:lang w:val="en-US"/>
        </w:rPr>
        <w:sym w:font="Symbol" w:char="F0A2"/>
      </w:r>
      <w:r w:rsidRPr="0021707D">
        <w:rPr>
          <w:lang w:val="en-US"/>
        </w:rPr>
        <w:t>/</w:t>
      </w:r>
      <w:r w:rsidRPr="0025579A">
        <w:rPr>
          <w:i/>
          <w:lang w:val="en-US"/>
        </w:rPr>
        <w:t>p</w:t>
      </w:r>
      <w:r w:rsidRPr="0021707D">
        <w:rPr>
          <w:lang w:val="en-US"/>
        </w:rPr>
        <w:t xml:space="preserve"> </w:t>
      </w:r>
      <w:r>
        <w:rPr>
          <w:lang w:val="en-US"/>
        </w:rPr>
        <w:t xml:space="preserve">correspondingly in different time instants near the ECRH start, with gradients of canonical profiles of density and pressure </w:t>
      </w:r>
      <w:r w:rsidRPr="0021707D">
        <w:rPr>
          <w:lang w:val="en-US"/>
        </w:rPr>
        <w:t>-</w:t>
      </w:r>
      <w:r w:rsidRPr="0025579A">
        <w:rPr>
          <w:i/>
          <w:lang w:val="en-US"/>
        </w:rPr>
        <w:t>Rn</w:t>
      </w:r>
      <w:r w:rsidRPr="0025579A">
        <w:rPr>
          <w:i/>
          <w:vertAlign w:val="subscript"/>
          <w:lang w:val="en-US"/>
        </w:rPr>
        <w:t>c</w:t>
      </w:r>
      <w:r>
        <w:rPr>
          <w:lang w:val="en-US"/>
        </w:rPr>
        <w:sym w:font="Symbol" w:char="F0A2"/>
      </w:r>
      <w:r w:rsidRPr="0021707D">
        <w:rPr>
          <w:lang w:val="en-US"/>
        </w:rPr>
        <w:t>/</w:t>
      </w:r>
      <w:r w:rsidRPr="0025579A">
        <w:rPr>
          <w:i/>
          <w:lang w:val="en-US"/>
        </w:rPr>
        <w:t>n</w:t>
      </w:r>
      <w:r w:rsidRPr="0025579A">
        <w:rPr>
          <w:i/>
          <w:vertAlign w:val="subscript"/>
          <w:lang w:val="en-US"/>
        </w:rPr>
        <w:t>c</w:t>
      </w:r>
      <w:r w:rsidRPr="0021707D">
        <w:rPr>
          <w:lang w:val="en-US"/>
        </w:rPr>
        <w:t xml:space="preserve"> </w:t>
      </w:r>
      <w:r>
        <w:rPr>
          <w:lang w:val="en-US"/>
        </w:rPr>
        <w:t>and</w:t>
      </w:r>
      <w:r w:rsidRPr="0021707D">
        <w:rPr>
          <w:lang w:val="en-US"/>
        </w:rPr>
        <w:t xml:space="preserve"> -</w:t>
      </w:r>
      <w:r w:rsidRPr="0025579A">
        <w:rPr>
          <w:i/>
          <w:lang w:val="en-US"/>
        </w:rPr>
        <w:t>Rp</w:t>
      </w:r>
      <w:r w:rsidRPr="0025579A">
        <w:rPr>
          <w:i/>
          <w:vertAlign w:val="subscript"/>
          <w:lang w:val="en-US"/>
        </w:rPr>
        <w:t>c</w:t>
      </w:r>
      <w:r>
        <w:rPr>
          <w:lang w:val="en-US"/>
        </w:rPr>
        <w:sym w:font="Symbol" w:char="F0A2"/>
      </w:r>
      <w:r w:rsidRPr="0021707D">
        <w:rPr>
          <w:lang w:val="en-US"/>
        </w:rPr>
        <w:t>/</w:t>
      </w:r>
      <w:r w:rsidRPr="0025579A">
        <w:rPr>
          <w:i/>
          <w:lang w:val="en-US"/>
        </w:rPr>
        <w:t>p</w:t>
      </w:r>
      <w:r w:rsidRPr="0025579A">
        <w:rPr>
          <w:i/>
          <w:vertAlign w:val="subscript"/>
          <w:lang w:val="en-US"/>
        </w:rPr>
        <w:t>c</w:t>
      </w:r>
      <w:r w:rsidRPr="0021707D">
        <w:rPr>
          <w:lang w:val="en-US"/>
        </w:rPr>
        <w:t xml:space="preserve"> </w:t>
      </w:r>
      <w:r>
        <w:rPr>
          <w:lang w:val="en-US"/>
        </w:rPr>
        <w:t>correspondingly</w:t>
      </w:r>
      <w:r w:rsidRPr="0021707D">
        <w:rPr>
          <w:lang w:val="en-US"/>
        </w:rPr>
        <w:t xml:space="preserve">. </w:t>
      </w:r>
      <w:r>
        <w:rPr>
          <w:lang w:val="en-US"/>
        </w:rPr>
        <w:t>We</w:t>
      </w:r>
      <w:r w:rsidRPr="0021707D">
        <w:rPr>
          <w:lang w:val="en-US"/>
        </w:rPr>
        <w:t xml:space="preserve"> </w:t>
      </w:r>
      <w:r>
        <w:rPr>
          <w:lang w:val="en-US"/>
        </w:rPr>
        <w:t>see</w:t>
      </w:r>
      <w:r w:rsidRPr="0021707D">
        <w:rPr>
          <w:lang w:val="en-US"/>
        </w:rPr>
        <w:t xml:space="preserve"> </w:t>
      </w:r>
      <w:r>
        <w:rPr>
          <w:lang w:val="en-US"/>
        </w:rPr>
        <w:t>that</w:t>
      </w:r>
      <w:r w:rsidRPr="0021707D">
        <w:rPr>
          <w:lang w:val="en-US"/>
        </w:rPr>
        <w:t xml:space="preserve"> </w:t>
      </w:r>
      <w:r>
        <w:rPr>
          <w:lang w:val="en-US"/>
        </w:rPr>
        <w:t>before</w:t>
      </w:r>
      <w:r w:rsidRPr="0021707D">
        <w:rPr>
          <w:lang w:val="en-US"/>
        </w:rPr>
        <w:t xml:space="preserve"> </w:t>
      </w:r>
      <w:r>
        <w:rPr>
          <w:lang w:val="en-US"/>
        </w:rPr>
        <w:t>ECRH</w:t>
      </w:r>
      <w:r w:rsidRPr="0021707D">
        <w:rPr>
          <w:lang w:val="en-US"/>
        </w:rPr>
        <w:t xml:space="preserve"> </w:t>
      </w:r>
      <w:r>
        <w:rPr>
          <w:lang w:val="en-US"/>
        </w:rPr>
        <w:t>switch</w:t>
      </w:r>
      <w:r w:rsidRPr="0021707D">
        <w:rPr>
          <w:lang w:val="en-US"/>
        </w:rPr>
        <w:t>-</w:t>
      </w:r>
      <w:r>
        <w:rPr>
          <w:lang w:val="en-US"/>
        </w:rPr>
        <w:t>on</w:t>
      </w:r>
      <w:r w:rsidRPr="0021707D">
        <w:rPr>
          <w:lang w:val="en-US"/>
        </w:rPr>
        <w:t xml:space="preserve"> (</w:t>
      </w:r>
      <w:r w:rsidRPr="0025579A">
        <w:rPr>
          <w:i/>
          <w:lang w:val="en-US"/>
        </w:rPr>
        <w:t>t</w:t>
      </w:r>
      <w:r w:rsidRPr="0021707D">
        <w:rPr>
          <w:lang w:val="en-US"/>
        </w:rPr>
        <w:t xml:space="preserve"> = 0.39 </w:t>
      </w:r>
      <w:r>
        <w:rPr>
          <w:lang w:val="en-US"/>
        </w:rPr>
        <w:t>s</w:t>
      </w:r>
      <w:r w:rsidRPr="0021707D">
        <w:rPr>
          <w:lang w:val="en-US"/>
        </w:rPr>
        <w:t xml:space="preserve">) </w:t>
      </w:r>
      <w:r>
        <w:rPr>
          <w:lang w:val="en-US"/>
        </w:rPr>
        <w:t>the intersections of abovementioned curves</w:t>
      </w:r>
      <w:r w:rsidRPr="0021707D">
        <w:rPr>
          <w:lang w:val="en-US"/>
        </w:rPr>
        <w:t xml:space="preserve"> </w:t>
      </w:r>
      <w:r w:rsidRPr="0025579A">
        <w:rPr>
          <w:rFonts w:ascii="Symbol" w:hAnsi="Symbol"/>
        </w:rPr>
        <w:sym w:font="Symbol" w:char="F072"/>
      </w:r>
      <w:r w:rsidRPr="0025579A">
        <w:rPr>
          <w:i/>
          <w:vertAlign w:val="subscript"/>
          <w:lang w:val="en-US"/>
        </w:rPr>
        <w:t>n</w:t>
      </w:r>
      <w:r w:rsidRPr="0021707D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25579A">
        <w:rPr>
          <w:rFonts w:ascii="Symbol" w:hAnsi="Symbol"/>
        </w:rPr>
        <w:sym w:font="Symbol" w:char="F072"/>
      </w:r>
      <w:r w:rsidRPr="0025579A">
        <w:rPr>
          <w:i/>
          <w:vertAlign w:val="subscript"/>
          <w:lang w:val="en-US"/>
        </w:rPr>
        <w:t>p</w:t>
      </w:r>
      <w:r w:rsidRPr="0021707D">
        <w:rPr>
          <w:lang w:val="en-US"/>
        </w:rPr>
        <w:t xml:space="preserve"> (</w:t>
      </w:r>
      <w:r>
        <w:rPr>
          <w:lang w:val="en-US"/>
        </w:rPr>
        <w:t>hatched circles</w:t>
      </w:r>
      <w:r w:rsidRPr="0021707D">
        <w:rPr>
          <w:lang w:val="en-US"/>
        </w:rPr>
        <w:t xml:space="preserve">) </w:t>
      </w:r>
      <w:r>
        <w:rPr>
          <w:lang w:val="en-US"/>
        </w:rPr>
        <w:t xml:space="preserve">are placed in the region </w:t>
      </w:r>
      <w:r w:rsidRPr="0025579A">
        <w:rPr>
          <w:rFonts w:ascii="Symbol" w:hAnsi="Symbol"/>
        </w:rPr>
        <w:t></w:t>
      </w:r>
      <w:r w:rsidRPr="0021707D">
        <w:rPr>
          <w:lang w:val="en-US"/>
        </w:rPr>
        <w:t xml:space="preserve"> ~ 0.5 (</w:t>
      </w:r>
      <w:r>
        <w:rPr>
          <w:lang w:val="en-US"/>
        </w:rPr>
        <w:t>for density</w:t>
      </w:r>
      <w:r w:rsidRPr="0021707D">
        <w:rPr>
          <w:lang w:val="en-US"/>
        </w:rPr>
        <w:t xml:space="preserve">) </w:t>
      </w:r>
      <w:r>
        <w:rPr>
          <w:lang w:val="en-US"/>
        </w:rPr>
        <w:t>and</w:t>
      </w:r>
      <w:r w:rsidRPr="0021707D">
        <w:rPr>
          <w:lang w:val="en-US"/>
        </w:rPr>
        <w:t xml:space="preserve"> </w:t>
      </w:r>
      <w:r w:rsidRPr="0025579A">
        <w:rPr>
          <w:rFonts w:ascii="Symbol" w:hAnsi="Symbol"/>
        </w:rPr>
        <w:t></w:t>
      </w:r>
      <w:r w:rsidRPr="0021707D">
        <w:rPr>
          <w:lang w:val="en-US"/>
        </w:rPr>
        <w:t xml:space="preserve"> ~ 0.4 (</w:t>
      </w:r>
      <w:r>
        <w:rPr>
          <w:lang w:val="en-US"/>
        </w:rPr>
        <w:t>for pressure</w:t>
      </w:r>
      <w:r w:rsidRPr="0021707D">
        <w:rPr>
          <w:lang w:val="en-US"/>
        </w:rPr>
        <w:t xml:space="preserve">). </w:t>
      </w:r>
      <w:r>
        <w:rPr>
          <w:lang w:val="en-US"/>
        </w:rPr>
        <w:t>After</w:t>
      </w:r>
      <w:r w:rsidRPr="00D2416C">
        <w:rPr>
          <w:lang w:val="en-US"/>
        </w:rPr>
        <w:t xml:space="preserve"> </w:t>
      </w:r>
      <w:r>
        <w:rPr>
          <w:lang w:val="en-US"/>
        </w:rPr>
        <w:t>ECRH</w:t>
      </w:r>
      <w:r w:rsidRPr="00D2416C">
        <w:rPr>
          <w:lang w:val="en-US"/>
        </w:rPr>
        <w:t xml:space="preserve"> </w:t>
      </w:r>
      <w:r>
        <w:rPr>
          <w:lang w:val="en-US"/>
        </w:rPr>
        <w:t>switch</w:t>
      </w:r>
      <w:r w:rsidRPr="00D2416C">
        <w:rPr>
          <w:lang w:val="en-US"/>
        </w:rPr>
        <w:t>-</w:t>
      </w:r>
      <w:r>
        <w:rPr>
          <w:lang w:val="en-US"/>
        </w:rPr>
        <w:t>on</w:t>
      </w:r>
      <w:r w:rsidRPr="00D2416C">
        <w:rPr>
          <w:lang w:val="en-US"/>
        </w:rPr>
        <w:t xml:space="preserve"> (</w:t>
      </w:r>
      <w:r w:rsidRPr="0025579A">
        <w:rPr>
          <w:i/>
          <w:lang w:val="en-US"/>
        </w:rPr>
        <w:t>t</w:t>
      </w:r>
      <w:r w:rsidRPr="00D2416C">
        <w:rPr>
          <w:lang w:val="en-US"/>
        </w:rPr>
        <w:t xml:space="preserve"> = 0.415 </w:t>
      </w:r>
      <w:r>
        <w:rPr>
          <w:lang w:val="en-US"/>
        </w:rPr>
        <w:t>s</w:t>
      </w:r>
      <w:r w:rsidRPr="00D2416C">
        <w:rPr>
          <w:lang w:val="en-US"/>
        </w:rPr>
        <w:t xml:space="preserve">) </w:t>
      </w:r>
      <w:r>
        <w:rPr>
          <w:lang w:val="en-US"/>
        </w:rPr>
        <w:t>the</w:t>
      </w:r>
      <w:r w:rsidRPr="00D2416C">
        <w:rPr>
          <w:lang w:val="en-US"/>
        </w:rPr>
        <w:t xml:space="preserve"> </w:t>
      </w:r>
      <w:r>
        <w:rPr>
          <w:lang w:val="en-US"/>
        </w:rPr>
        <w:t>pressure profile is peaked</w:t>
      </w:r>
      <w:r w:rsidRPr="00D2416C">
        <w:rPr>
          <w:lang w:val="en-US"/>
        </w:rPr>
        <w:t xml:space="preserve">, </w:t>
      </w:r>
      <w:r>
        <w:rPr>
          <w:lang w:val="en-US"/>
        </w:rPr>
        <w:t xml:space="preserve">and the intersection point </w:t>
      </w:r>
      <w:r>
        <w:rPr>
          <w:rFonts w:ascii="Symbol" w:hAnsi="Symbol"/>
          <w:lang w:val="en-US"/>
        </w:rPr>
        <w:t></w:t>
      </w:r>
      <w:r w:rsidRPr="0025579A">
        <w:rPr>
          <w:i/>
          <w:vertAlign w:val="subscript"/>
          <w:lang w:val="en-US"/>
        </w:rPr>
        <w:t>p</w:t>
      </w:r>
      <w:r w:rsidRPr="00D2416C">
        <w:rPr>
          <w:lang w:val="en-US"/>
        </w:rPr>
        <w:t xml:space="preserve"> </w:t>
      </w:r>
      <w:r>
        <w:rPr>
          <w:lang w:val="en-US"/>
        </w:rPr>
        <w:t>disappears</w:t>
      </w:r>
      <w:r w:rsidRPr="00D2416C">
        <w:rPr>
          <w:lang w:val="en-US"/>
        </w:rPr>
        <w:t xml:space="preserve">. </w:t>
      </w:r>
      <w:r>
        <w:rPr>
          <w:lang w:val="en-US"/>
        </w:rPr>
        <w:t>However</w:t>
      </w:r>
      <w:r w:rsidRPr="00D2416C">
        <w:rPr>
          <w:lang w:val="en-US"/>
        </w:rPr>
        <w:t xml:space="preserve">, </w:t>
      </w:r>
      <w:r>
        <w:rPr>
          <w:lang w:val="en-US"/>
        </w:rPr>
        <w:t>the</w:t>
      </w:r>
      <w:r w:rsidRPr="00D2416C">
        <w:rPr>
          <w:lang w:val="en-US"/>
        </w:rPr>
        <w:t xml:space="preserve"> </w:t>
      </w:r>
      <w:r>
        <w:rPr>
          <w:lang w:val="en-US"/>
        </w:rPr>
        <w:t>density</w:t>
      </w:r>
      <w:r w:rsidRPr="00D2416C">
        <w:rPr>
          <w:lang w:val="en-US"/>
        </w:rPr>
        <w:t xml:space="preserve"> </w:t>
      </w:r>
      <w:r>
        <w:rPr>
          <w:lang w:val="en-US"/>
        </w:rPr>
        <w:t>profile</w:t>
      </w:r>
      <w:r w:rsidRPr="00D2416C">
        <w:rPr>
          <w:lang w:val="en-US"/>
        </w:rPr>
        <w:t xml:space="preserve"> </w:t>
      </w:r>
      <w:r>
        <w:rPr>
          <w:lang w:val="en-US"/>
        </w:rPr>
        <w:t>practically</w:t>
      </w:r>
      <w:r w:rsidRPr="00D2416C">
        <w:rPr>
          <w:lang w:val="en-US"/>
        </w:rPr>
        <w:t xml:space="preserve"> </w:t>
      </w:r>
      <w:r>
        <w:rPr>
          <w:lang w:val="en-US"/>
        </w:rPr>
        <w:t>conserved</w:t>
      </w:r>
      <w:r w:rsidRPr="00D2416C">
        <w:rPr>
          <w:lang w:val="en-US"/>
        </w:rPr>
        <w:t xml:space="preserve"> </w:t>
      </w:r>
      <w:r>
        <w:rPr>
          <w:lang w:val="en-US"/>
        </w:rPr>
        <w:t xml:space="preserve">and the intersection point </w:t>
      </w:r>
      <w:r>
        <w:rPr>
          <w:rFonts w:ascii="Symbol" w:hAnsi="Symbol"/>
          <w:lang w:val="en-US"/>
        </w:rPr>
        <w:t></w:t>
      </w:r>
      <w:r w:rsidRPr="0025579A">
        <w:rPr>
          <w:i/>
          <w:vertAlign w:val="subscript"/>
          <w:lang w:val="en-US"/>
        </w:rPr>
        <w:t>n</w:t>
      </w:r>
      <w:r w:rsidRPr="00D2416C">
        <w:rPr>
          <w:lang w:val="en-US"/>
        </w:rPr>
        <w:t xml:space="preserve"> </w:t>
      </w:r>
      <w:r>
        <w:rPr>
          <w:lang w:val="en-US"/>
        </w:rPr>
        <w:t>stays as previously</w:t>
      </w:r>
      <w:r w:rsidRPr="00D2416C">
        <w:rPr>
          <w:lang w:val="en-US"/>
        </w:rPr>
        <w:t xml:space="preserve">. </w:t>
      </w:r>
      <w:r>
        <w:rPr>
          <w:lang w:val="en-US"/>
        </w:rPr>
        <w:t>This</w:t>
      </w:r>
      <w:r w:rsidRPr="00D2416C">
        <w:rPr>
          <w:lang w:val="en-US"/>
        </w:rPr>
        <w:t xml:space="preserve"> </w:t>
      </w:r>
      <w:r>
        <w:rPr>
          <w:lang w:val="en-US"/>
        </w:rPr>
        <w:t>pattern</w:t>
      </w:r>
      <w:r w:rsidRPr="00D2416C">
        <w:rPr>
          <w:lang w:val="en-US"/>
        </w:rPr>
        <w:t xml:space="preserve"> </w:t>
      </w:r>
      <w:r>
        <w:rPr>
          <w:lang w:val="en-US"/>
        </w:rPr>
        <w:t>allows</w:t>
      </w:r>
      <w:r w:rsidRPr="00D2416C">
        <w:rPr>
          <w:lang w:val="en-US"/>
        </w:rPr>
        <w:t xml:space="preserve"> </w:t>
      </w:r>
      <w:r>
        <w:rPr>
          <w:lang w:val="en-US"/>
        </w:rPr>
        <w:t>us</w:t>
      </w:r>
      <w:r w:rsidRPr="00D2416C">
        <w:rPr>
          <w:lang w:val="en-US"/>
        </w:rPr>
        <w:t xml:space="preserve"> </w:t>
      </w:r>
      <w:r>
        <w:rPr>
          <w:lang w:val="en-US"/>
        </w:rPr>
        <w:t>to</w:t>
      </w:r>
      <w:r w:rsidRPr="00D2416C">
        <w:rPr>
          <w:lang w:val="en-US"/>
        </w:rPr>
        <w:t xml:space="preserve"> </w:t>
      </w:r>
      <w:r>
        <w:rPr>
          <w:lang w:val="en-US"/>
        </w:rPr>
        <w:t>obtain</w:t>
      </w:r>
      <w:r w:rsidRPr="00D2416C">
        <w:rPr>
          <w:lang w:val="en-US"/>
        </w:rPr>
        <w:t xml:space="preserve"> </w:t>
      </w:r>
      <w:r>
        <w:rPr>
          <w:lang w:val="en-US"/>
        </w:rPr>
        <w:t>the</w:t>
      </w:r>
      <w:r w:rsidRPr="00D2416C">
        <w:rPr>
          <w:lang w:val="en-US"/>
        </w:rPr>
        <w:t xml:space="preserve"> </w:t>
      </w:r>
      <w:r>
        <w:rPr>
          <w:lang w:val="en-US"/>
        </w:rPr>
        <w:t>criterion</w:t>
      </w:r>
      <w:r w:rsidRPr="00D2416C">
        <w:rPr>
          <w:lang w:val="en-US"/>
        </w:rPr>
        <w:t xml:space="preserve"> </w:t>
      </w:r>
      <w:r>
        <w:rPr>
          <w:lang w:val="en-US"/>
        </w:rPr>
        <w:t>of</w:t>
      </w:r>
      <w:r w:rsidRPr="00D2416C">
        <w:rPr>
          <w:lang w:val="en-US"/>
        </w:rPr>
        <w:t xml:space="preserve"> </w:t>
      </w:r>
      <w:r>
        <w:rPr>
          <w:lang w:val="en-US"/>
        </w:rPr>
        <w:t>transition from high confinement of particles to low confinement and return</w:t>
      </w:r>
      <w:r w:rsidRPr="00D2416C">
        <w:rPr>
          <w:lang w:val="en-US"/>
        </w:rPr>
        <w:t xml:space="preserve">. </w:t>
      </w:r>
      <w:r>
        <w:rPr>
          <w:lang w:val="en-US"/>
        </w:rPr>
        <w:t>If</w:t>
      </w:r>
      <w:r w:rsidRPr="00D2416C">
        <w:rPr>
          <w:lang w:val="en-US"/>
        </w:rPr>
        <w:t xml:space="preserve"> </w:t>
      </w:r>
      <w:r>
        <w:rPr>
          <w:rFonts w:ascii="Symbol" w:hAnsi="Symbol"/>
          <w:lang w:val="en-US"/>
        </w:rPr>
        <w:t></w:t>
      </w:r>
      <w:r w:rsidRPr="0025579A">
        <w:rPr>
          <w:i/>
          <w:vertAlign w:val="subscript"/>
          <w:lang w:val="en-US"/>
        </w:rPr>
        <w:t>p</w:t>
      </w:r>
      <w:r w:rsidRPr="00D2416C">
        <w:rPr>
          <w:lang w:val="en-US"/>
        </w:rPr>
        <w:t xml:space="preserve"> begins to fulfill the condition</w:t>
      </w:r>
      <w:r>
        <w:rPr>
          <w:vertAlign w:val="subscript"/>
          <w:lang w:val="en-US"/>
        </w:rPr>
        <w:t xml:space="preserve"> </w:t>
      </w:r>
      <w:r w:rsidRPr="0025579A">
        <w:rPr>
          <w:rFonts w:ascii="Symbol" w:hAnsi="Symbol"/>
        </w:rPr>
        <w:t></w:t>
      </w:r>
      <w:r w:rsidRPr="0025579A">
        <w:rPr>
          <w:i/>
          <w:vertAlign w:val="subscript"/>
          <w:lang w:val="en-US"/>
        </w:rPr>
        <w:t>p</w:t>
      </w:r>
      <w:r w:rsidRPr="00D2416C">
        <w:rPr>
          <w:lang w:val="en-US"/>
        </w:rPr>
        <w:t xml:space="preserve"> &lt; 0.35 – 0.4, </w:t>
      </w:r>
      <w:r>
        <w:rPr>
          <w:lang w:val="en-US"/>
        </w:rPr>
        <w:t>then the particle confinement is degraded</w:t>
      </w:r>
      <w:r w:rsidRPr="00D2416C">
        <w:rPr>
          <w:lang w:val="en-US"/>
        </w:rPr>
        <w:t xml:space="preserve">. </w:t>
      </w:r>
      <w:r w:rsidRPr="000C3B4D">
        <w:rPr>
          <w:lang w:val="en-US"/>
        </w:rPr>
        <w:t xml:space="preserve">The greater ECRH power, the lower confinement. </w:t>
      </w:r>
    </w:p>
    <w:p w:rsidR="004D6E71" w:rsidRPr="00681A11" w:rsidRDefault="004D6E71" w:rsidP="004D6E71">
      <w:pPr>
        <w:pStyle w:val="a6"/>
        <w:ind w:firstLine="284"/>
        <w:jc w:val="both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4pt;margin-top:60.2pt;width:263.9pt;height:196.2pt;z-index:-251658240">
            <v:imagedata r:id="rId8" o:title=""/>
            <w10:anchorlock/>
          </v:shape>
          <o:OLEObject Type="Embed" ProgID="Origin50.Graph" ShapeID="_x0000_s1026" DrawAspect="Content" ObjectID="_1512473986" r:id="rId9"/>
        </w:pict>
      </w:r>
      <w:r>
        <w:rPr>
          <w:noProof/>
        </w:rPr>
        <w:pict>
          <v:shape id="_x0000_s1027" type="#_x0000_t75" style="position:absolute;left:0;text-align:left;margin-left:238.9pt;margin-top:59.9pt;width:251.6pt;height:197.05pt;z-index:251658240">
            <v:imagedata r:id="rId10" o:title=""/>
            <w10:anchorlock/>
          </v:shape>
          <o:OLEObject Type="Embed" ProgID="Origin50.Graph" ShapeID="_x0000_s1027" DrawAspect="Content" ObjectID="_1512473987" r:id="rId11"/>
        </w:pict>
      </w:r>
      <w:r>
        <w:rPr>
          <w:lang w:val="en-US"/>
        </w:rPr>
        <w:t>We</w:t>
      </w:r>
      <w:r w:rsidRPr="00681A11">
        <w:rPr>
          <w:lang w:val="en-US"/>
        </w:rPr>
        <w:t xml:space="preserve"> </w:t>
      </w:r>
      <w:r>
        <w:rPr>
          <w:lang w:val="en-US"/>
        </w:rPr>
        <w:t>upgraded</w:t>
      </w:r>
      <w:r w:rsidRPr="00681A11">
        <w:rPr>
          <w:lang w:val="en-US"/>
        </w:rPr>
        <w:t xml:space="preserve"> </w:t>
      </w:r>
      <w:r>
        <w:rPr>
          <w:lang w:val="en-US"/>
        </w:rPr>
        <w:t>the</w:t>
      </w:r>
      <w:r w:rsidRPr="00681A11">
        <w:rPr>
          <w:lang w:val="en-US"/>
        </w:rPr>
        <w:t xml:space="preserve"> </w:t>
      </w:r>
      <w:r>
        <w:rPr>
          <w:lang w:val="en-US"/>
        </w:rPr>
        <w:t>transport</w:t>
      </w:r>
      <w:r w:rsidRPr="00681A11">
        <w:rPr>
          <w:lang w:val="en-US"/>
        </w:rPr>
        <w:t xml:space="preserve"> </w:t>
      </w:r>
      <w:r>
        <w:rPr>
          <w:lang w:val="en-US"/>
        </w:rPr>
        <w:t>model</w:t>
      </w:r>
      <w:r w:rsidRPr="00681A11">
        <w:rPr>
          <w:lang w:val="en-US"/>
        </w:rPr>
        <w:t xml:space="preserve"> </w:t>
      </w:r>
      <w:r>
        <w:rPr>
          <w:lang w:val="en-US"/>
        </w:rPr>
        <w:t>of</w:t>
      </w:r>
      <w:r w:rsidRPr="00681A11">
        <w:rPr>
          <w:lang w:val="en-US"/>
        </w:rPr>
        <w:t xml:space="preserve"> </w:t>
      </w:r>
      <w:r>
        <w:rPr>
          <w:lang w:val="en-US"/>
        </w:rPr>
        <w:t>canonical</w:t>
      </w:r>
      <w:r w:rsidRPr="00681A11">
        <w:rPr>
          <w:lang w:val="en-US"/>
        </w:rPr>
        <w:t xml:space="preserve"> </w:t>
      </w:r>
      <w:r>
        <w:rPr>
          <w:lang w:val="en-US"/>
        </w:rPr>
        <w:t>profiles</w:t>
      </w:r>
      <w:r w:rsidRPr="00681A11">
        <w:rPr>
          <w:lang w:val="en-US"/>
        </w:rPr>
        <w:t xml:space="preserve"> </w:t>
      </w:r>
      <w:r>
        <w:rPr>
          <w:lang w:val="en-US"/>
        </w:rPr>
        <w:t>for</w:t>
      </w:r>
      <w:r w:rsidRPr="00681A11">
        <w:rPr>
          <w:lang w:val="en-US"/>
        </w:rPr>
        <w:t xml:space="preserve"> </w:t>
      </w:r>
      <w:r>
        <w:rPr>
          <w:lang w:val="en-US"/>
        </w:rPr>
        <w:t>plasma</w:t>
      </w:r>
      <w:r w:rsidRPr="00681A11">
        <w:rPr>
          <w:lang w:val="en-US"/>
        </w:rPr>
        <w:t xml:space="preserve"> </w:t>
      </w:r>
      <w:r>
        <w:rPr>
          <w:lang w:val="en-US"/>
        </w:rPr>
        <w:t>density</w:t>
      </w:r>
      <w:r w:rsidRPr="00681A11">
        <w:rPr>
          <w:lang w:val="en-US"/>
        </w:rPr>
        <w:t xml:space="preserve"> [1, 2] </w:t>
      </w:r>
      <w:r>
        <w:rPr>
          <w:lang w:val="en-US"/>
        </w:rPr>
        <w:t xml:space="preserve">as described in </w:t>
      </w:r>
      <w:r w:rsidRPr="00681A11">
        <w:rPr>
          <w:lang w:val="en-US"/>
        </w:rPr>
        <w:t xml:space="preserve">[2]. </w:t>
      </w:r>
      <w:r>
        <w:rPr>
          <w:lang w:val="en-US"/>
        </w:rPr>
        <w:t>As input data we</w:t>
      </w:r>
      <w:r w:rsidRPr="00681A11">
        <w:rPr>
          <w:lang w:val="en-US"/>
        </w:rPr>
        <w:t xml:space="preserve"> </w:t>
      </w:r>
      <w:r>
        <w:rPr>
          <w:lang w:val="en-US"/>
        </w:rPr>
        <w:t>use</w:t>
      </w:r>
      <w:r w:rsidRPr="00681A11">
        <w:rPr>
          <w:lang w:val="en-US"/>
        </w:rPr>
        <w:t xml:space="preserve"> </w:t>
      </w:r>
      <w:r>
        <w:rPr>
          <w:lang w:val="en-US"/>
        </w:rPr>
        <w:t>results of interferometer</w:t>
      </w:r>
      <w:r w:rsidRPr="00681A11">
        <w:rPr>
          <w:lang w:val="en-US"/>
        </w:rPr>
        <w:t xml:space="preserve"> </w:t>
      </w:r>
      <w:r>
        <w:rPr>
          <w:lang w:val="en-US"/>
        </w:rPr>
        <w:t>measurements</w:t>
      </w:r>
      <w:r w:rsidRPr="00681A11">
        <w:rPr>
          <w:lang w:val="en-US"/>
        </w:rPr>
        <w:t xml:space="preserve"> </w:t>
      </w:r>
      <w:r>
        <w:rPr>
          <w:lang w:val="en-US"/>
        </w:rPr>
        <w:t>after</w:t>
      </w:r>
      <w:r w:rsidRPr="00681A11">
        <w:rPr>
          <w:lang w:val="en-US"/>
        </w:rPr>
        <w:t xml:space="preserve"> </w:t>
      </w:r>
      <w:r>
        <w:rPr>
          <w:lang w:val="en-US"/>
        </w:rPr>
        <w:t>Abel</w:t>
      </w:r>
      <w:r w:rsidRPr="00681A11">
        <w:rPr>
          <w:lang w:val="en-US"/>
        </w:rPr>
        <w:t xml:space="preserve"> </w:t>
      </w:r>
      <w:r>
        <w:rPr>
          <w:lang w:val="en-US"/>
        </w:rPr>
        <w:t>inversion</w:t>
      </w:r>
      <w:r w:rsidRPr="00681A11">
        <w:rPr>
          <w:lang w:val="en-US"/>
        </w:rPr>
        <w:t xml:space="preserve">. </w:t>
      </w:r>
      <w:r>
        <w:rPr>
          <w:lang w:val="en-US"/>
        </w:rPr>
        <w:t>They</w:t>
      </w:r>
      <w:r w:rsidRPr="00681A11">
        <w:rPr>
          <w:lang w:val="en-US"/>
        </w:rPr>
        <w:t xml:space="preserve"> </w:t>
      </w:r>
      <w:r>
        <w:rPr>
          <w:lang w:val="en-US"/>
        </w:rPr>
        <w:t>are</w:t>
      </w:r>
      <w:r w:rsidRPr="00681A11">
        <w:rPr>
          <w:lang w:val="en-US"/>
        </w:rPr>
        <w:t xml:space="preserve"> </w:t>
      </w:r>
      <w:r>
        <w:rPr>
          <w:lang w:val="en-US"/>
        </w:rPr>
        <w:t>shown in Fig. 1 as dashed line together with results</w:t>
      </w:r>
      <w:r w:rsidRPr="00681A11">
        <w:rPr>
          <w:lang w:val="en-US"/>
        </w:rPr>
        <w:t xml:space="preserve"> </w:t>
      </w:r>
      <w:r>
        <w:rPr>
          <w:lang w:val="en-US"/>
        </w:rPr>
        <w:t>of</w:t>
      </w:r>
      <w:r w:rsidRPr="00681A11">
        <w:rPr>
          <w:lang w:val="en-US"/>
        </w:rPr>
        <w:t xml:space="preserve"> </w:t>
      </w:r>
      <w:r>
        <w:rPr>
          <w:lang w:val="en-US"/>
        </w:rPr>
        <w:t>modeling. Here the solid line describes the evolution of line-averaged density, obtained by integration of calculated density profiles</w:t>
      </w:r>
      <w:r w:rsidRPr="00681A11">
        <w:rPr>
          <w:lang w:val="en-US"/>
        </w:rPr>
        <w:t xml:space="preserve">. </w:t>
      </w:r>
      <w:r>
        <w:rPr>
          <w:lang w:val="en-US"/>
        </w:rPr>
        <w:t>Thin</w:t>
      </w:r>
      <w:r w:rsidRPr="00681A11">
        <w:rPr>
          <w:lang w:val="en-US"/>
        </w:rPr>
        <w:t xml:space="preserve"> </w:t>
      </w:r>
      <w:r>
        <w:rPr>
          <w:lang w:val="en-US"/>
        </w:rPr>
        <w:t>lower</w:t>
      </w:r>
      <w:r w:rsidRPr="00681A11">
        <w:rPr>
          <w:lang w:val="en-US"/>
        </w:rPr>
        <w:t xml:space="preserve"> </w:t>
      </w:r>
      <w:r>
        <w:rPr>
          <w:lang w:val="en-US"/>
        </w:rPr>
        <w:t>line</w:t>
      </w:r>
      <w:r w:rsidRPr="00681A11">
        <w:rPr>
          <w:lang w:val="en-US"/>
        </w:rPr>
        <w:t xml:space="preserve"> </w:t>
      </w:r>
      <w:r>
        <w:rPr>
          <w:lang w:val="en-US"/>
        </w:rPr>
        <w:t>designates</w:t>
      </w:r>
      <w:r w:rsidRPr="00681A11">
        <w:rPr>
          <w:lang w:val="en-US"/>
        </w:rPr>
        <w:t xml:space="preserve"> </w:t>
      </w:r>
      <w:r>
        <w:rPr>
          <w:lang w:val="en-US"/>
        </w:rPr>
        <w:t>the</w:t>
      </w:r>
      <w:r w:rsidRPr="00681A11">
        <w:rPr>
          <w:lang w:val="en-US"/>
        </w:rPr>
        <w:t xml:space="preserve"> </w:t>
      </w:r>
      <w:r>
        <w:rPr>
          <w:lang w:val="en-US"/>
        </w:rPr>
        <w:t>root</w:t>
      </w:r>
      <w:r w:rsidRPr="00681A11">
        <w:rPr>
          <w:lang w:val="en-US"/>
        </w:rPr>
        <w:t>-</w:t>
      </w:r>
      <w:r>
        <w:rPr>
          <w:lang w:val="en-US"/>
        </w:rPr>
        <w:t>mean</w:t>
      </w:r>
      <w:r w:rsidRPr="00681A11">
        <w:rPr>
          <w:lang w:val="en-US"/>
        </w:rPr>
        <w:t xml:space="preserve"> </w:t>
      </w:r>
      <w:r>
        <w:rPr>
          <w:lang w:val="en-US"/>
        </w:rPr>
        <w:t>square</w:t>
      </w:r>
      <w:r w:rsidRPr="00681A11">
        <w:rPr>
          <w:lang w:val="en-US"/>
        </w:rPr>
        <w:t xml:space="preserve"> </w:t>
      </w:r>
      <w:r>
        <w:rPr>
          <w:lang w:val="en-US"/>
        </w:rPr>
        <w:t>(</w:t>
      </w:r>
      <w:r w:rsidRPr="00E36B94">
        <w:rPr>
          <w:lang w:val="en-US"/>
        </w:rPr>
        <w:t>RMS</w:t>
      </w:r>
      <w:r>
        <w:rPr>
          <w:lang w:val="en-US"/>
        </w:rPr>
        <w:t xml:space="preserve">) deviations </w:t>
      </w:r>
      <w:r w:rsidRPr="00681A11">
        <w:rPr>
          <w:i/>
          <w:iCs/>
          <w:lang w:val="en-US"/>
        </w:rPr>
        <w:t>d</w:t>
      </w:r>
      <w:r w:rsidRPr="00681A11">
        <w:rPr>
          <w:lang w:val="en-US"/>
        </w:rPr>
        <w:t>2</w:t>
      </w:r>
      <w:r w:rsidRPr="00681A11">
        <w:rPr>
          <w:i/>
          <w:iCs/>
          <w:lang w:val="en-US"/>
        </w:rPr>
        <w:t>n</w:t>
      </w:r>
      <w:r>
        <w:rPr>
          <w:lang w:val="en-US"/>
        </w:rPr>
        <w:t xml:space="preserve"> of calculated density profiles from experimental ones</w:t>
      </w:r>
      <w:r w:rsidRPr="00681A11">
        <w:rPr>
          <w:lang w:val="en-US"/>
        </w:rPr>
        <w:t>.</w:t>
      </w:r>
    </w:p>
    <w:p w:rsidR="004D6E71" w:rsidRPr="00681A11" w:rsidRDefault="004D6E71" w:rsidP="004D6E71">
      <w:pPr>
        <w:pStyle w:val="a6"/>
        <w:spacing w:after="0"/>
        <w:rPr>
          <w:lang w:val="en-US"/>
        </w:rPr>
      </w:pPr>
    </w:p>
    <w:p w:rsidR="004D6E71" w:rsidRPr="00681A11" w:rsidRDefault="004D6E71" w:rsidP="004D6E71">
      <w:pPr>
        <w:pStyle w:val="a6"/>
        <w:spacing w:after="0"/>
        <w:rPr>
          <w:lang w:val="en-US"/>
        </w:rPr>
      </w:pPr>
    </w:p>
    <w:p w:rsidR="004D6E71" w:rsidRPr="00681A11" w:rsidRDefault="004D6E71" w:rsidP="004D6E71">
      <w:pPr>
        <w:pStyle w:val="a6"/>
        <w:spacing w:after="0"/>
        <w:rPr>
          <w:lang w:val="en-US"/>
        </w:rPr>
      </w:pPr>
    </w:p>
    <w:p w:rsidR="004D6E71" w:rsidRPr="00681A11" w:rsidRDefault="004D6E71" w:rsidP="004D6E71">
      <w:pPr>
        <w:pStyle w:val="a6"/>
        <w:spacing w:after="0"/>
        <w:rPr>
          <w:lang w:val="en-US"/>
        </w:rPr>
      </w:pPr>
    </w:p>
    <w:p w:rsidR="004D6E71" w:rsidRPr="00681A11" w:rsidRDefault="004D6E71" w:rsidP="004D6E71">
      <w:pPr>
        <w:pStyle w:val="a6"/>
        <w:spacing w:after="0"/>
        <w:rPr>
          <w:lang w:val="en-US"/>
        </w:rPr>
      </w:pPr>
    </w:p>
    <w:p w:rsidR="004D6E71" w:rsidRPr="00681A11" w:rsidRDefault="004D6E71" w:rsidP="004D6E71">
      <w:pPr>
        <w:pStyle w:val="a6"/>
        <w:spacing w:after="0"/>
        <w:rPr>
          <w:lang w:val="en-US"/>
        </w:rPr>
      </w:pPr>
    </w:p>
    <w:p w:rsidR="004D6E71" w:rsidRPr="00681A11" w:rsidRDefault="004D6E71" w:rsidP="004D6E71">
      <w:pPr>
        <w:pStyle w:val="a6"/>
        <w:spacing w:after="0"/>
        <w:rPr>
          <w:lang w:val="en-US"/>
        </w:rPr>
      </w:pPr>
    </w:p>
    <w:p w:rsidR="004D6E71" w:rsidRPr="00681A11" w:rsidRDefault="004D6E71" w:rsidP="004D6E71">
      <w:pPr>
        <w:pStyle w:val="a6"/>
        <w:spacing w:after="0"/>
        <w:rPr>
          <w:lang w:val="en-US"/>
        </w:rPr>
      </w:pPr>
    </w:p>
    <w:p w:rsidR="004D6E71" w:rsidRPr="00681A11" w:rsidRDefault="004D6E71" w:rsidP="004D6E71">
      <w:pPr>
        <w:pStyle w:val="a6"/>
        <w:spacing w:after="0"/>
        <w:rPr>
          <w:lang w:val="en-US"/>
        </w:rPr>
      </w:pPr>
    </w:p>
    <w:p w:rsidR="004D6E71" w:rsidRPr="00681A11" w:rsidRDefault="004D6E71" w:rsidP="004D6E71">
      <w:pPr>
        <w:pStyle w:val="a6"/>
        <w:spacing w:after="0"/>
        <w:rPr>
          <w:lang w:val="en-US"/>
        </w:rPr>
      </w:pPr>
    </w:p>
    <w:p w:rsidR="004D6E71" w:rsidRPr="00681A11" w:rsidRDefault="004D6E71" w:rsidP="004D6E71">
      <w:pPr>
        <w:pStyle w:val="a6"/>
        <w:spacing w:after="0"/>
        <w:rPr>
          <w:lang w:val="en-US"/>
        </w:rPr>
      </w:pPr>
    </w:p>
    <w:p w:rsidR="004D6E71" w:rsidRPr="008E7FAC" w:rsidRDefault="004D6E71" w:rsidP="004D6E71">
      <w:pPr>
        <w:pStyle w:val="a6"/>
        <w:tabs>
          <w:tab w:val="left" w:pos="1134"/>
          <w:tab w:val="left" w:pos="6379"/>
        </w:tabs>
        <w:spacing w:after="0"/>
        <w:rPr>
          <w:lang w:val="en-US"/>
        </w:rPr>
      </w:pPr>
      <w:r w:rsidRPr="00681A11">
        <w:rPr>
          <w:lang w:val="en-US"/>
        </w:rPr>
        <w:tab/>
      </w:r>
      <w:r>
        <w:rPr>
          <w:lang w:val="en-US"/>
        </w:rPr>
        <w:t>Fig. 1.</w:t>
      </w:r>
      <w:r>
        <w:rPr>
          <w:lang w:val="en-US"/>
        </w:rPr>
        <w:tab/>
        <w:t>Fig. 2.</w:t>
      </w:r>
    </w:p>
    <w:p w:rsidR="004D6E71" w:rsidRPr="00082902" w:rsidRDefault="004D6E71" w:rsidP="004D6E71">
      <w:pPr>
        <w:pStyle w:val="Zv-TitleReferences-en"/>
      </w:pPr>
      <w:r w:rsidRPr="00082902">
        <w:t>References</w:t>
      </w:r>
    </w:p>
    <w:p w:rsidR="004D6E71" w:rsidRDefault="004D6E71" w:rsidP="004D6E71">
      <w:pPr>
        <w:pStyle w:val="Zv-References-en"/>
      </w:pPr>
      <w:r w:rsidRPr="000F589F">
        <w:t>Yu.N. Dnestrovskij, Self-organization of hot plasma</w:t>
      </w:r>
      <w:r>
        <w:t>s</w:t>
      </w:r>
      <w:r w:rsidRPr="000F589F">
        <w:t>, Springer</w:t>
      </w:r>
      <w:r w:rsidRPr="00681A11">
        <w:rPr>
          <w:szCs w:val="24"/>
        </w:rPr>
        <w:t xml:space="preserve"> </w:t>
      </w:r>
      <w:r w:rsidRPr="00B8040E">
        <w:rPr>
          <w:szCs w:val="24"/>
        </w:rPr>
        <w:t xml:space="preserve">International </w:t>
      </w:r>
      <w:r>
        <w:rPr>
          <w:szCs w:val="24"/>
        </w:rPr>
        <w:br w:type="textWrapping" w:clear="all"/>
      </w:r>
      <w:r w:rsidRPr="00B8040E">
        <w:rPr>
          <w:szCs w:val="24"/>
        </w:rPr>
        <w:t>Publishing</w:t>
      </w:r>
      <w:r w:rsidRPr="000F589F">
        <w:t>, 2014</w:t>
      </w:r>
      <w:r>
        <w:t>.</w:t>
      </w:r>
    </w:p>
    <w:p w:rsidR="004D6E71" w:rsidRPr="008E7FAC" w:rsidRDefault="004D6E71" w:rsidP="004D6E71">
      <w:pPr>
        <w:pStyle w:val="Zv-References-en"/>
      </w:pPr>
      <w:r w:rsidRPr="000F589F">
        <w:t xml:space="preserve">Yu.N. Dnestrovskij, </w:t>
      </w:r>
      <w:r>
        <w:t>V.A. Vershkov, A</w:t>
      </w:r>
      <w:r w:rsidRPr="003A4B35">
        <w:t>.</w:t>
      </w:r>
      <w:r>
        <w:t>V</w:t>
      </w:r>
      <w:r w:rsidRPr="003A4B35">
        <w:t xml:space="preserve">. </w:t>
      </w:r>
      <w:r>
        <w:t>Danilov et al.,</w:t>
      </w:r>
      <w:r w:rsidRPr="008E7FAC">
        <w:t xml:space="preserve"> </w:t>
      </w:r>
      <w:r>
        <w:t>Plasma</w:t>
      </w:r>
      <w:r w:rsidRPr="008E7FAC">
        <w:t xml:space="preserve"> </w:t>
      </w:r>
      <w:r>
        <w:t>Phys</w:t>
      </w:r>
      <w:r w:rsidRPr="008E7FAC">
        <w:t xml:space="preserve">. </w:t>
      </w:r>
      <w:r>
        <w:t xml:space="preserve">Reports, 2016, </w:t>
      </w:r>
      <w:r>
        <w:br w:type="textWrapping" w:clear="all"/>
        <w:t>in press.</w:t>
      </w:r>
    </w:p>
    <w:p w:rsidR="00654A7B" w:rsidRDefault="00654A7B" w:rsidP="004D6E71">
      <w:pPr>
        <w:tabs>
          <w:tab w:val="left" w:pos="6946"/>
        </w:tabs>
        <w:rPr>
          <w:lang w:val="en-US"/>
        </w:rPr>
      </w:pPr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8F" w:rsidRDefault="0079038F">
      <w:r>
        <w:separator/>
      </w:r>
    </w:p>
  </w:endnote>
  <w:endnote w:type="continuationSeparator" w:id="0">
    <w:p w:rsidR="0079038F" w:rsidRDefault="0079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075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075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6E7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8F" w:rsidRDefault="0079038F">
      <w:r>
        <w:separator/>
      </w:r>
    </w:p>
  </w:footnote>
  <w:footnote w:type="continuationSeparator" w:id="0">
    <w:p w:rsidR="0079038F" w:rsidRDefault="00790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F075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038F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D6E71"/>
    <w:rsid w:val="004F4E29"/>
    <w:rsid w:val="00567C6F"/>
    <w:rsid w:val="00573BAD"/>
    <w:rsid w:val="0058676C"/>
    <w:rsid w:val="005F764D"/>
    <w:rsid w:val="00654A7B"/>
    <w:rsid w:val="00732A2E"/>
    <w:rsid w:val="0079038F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0758E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link w:val="a7"/>
    <w:uiPriority w:val="99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customStyle="1" w:styleId="a7">
    <w:name w:val="Основной текст Знак"/>
    <w:basedOn w:val="a0"/>
    <w:link w:val="a6"/>
    <w:uiPriority w:val="99"/>
    <w:locked/>
    <w:rsid w:val="004D6E71"/>
    <w:rPr>
      <w:sz w:val="24"/>
      <w:szCs w:val="24"/>
    </w:rPr>
  </w:style>
  <w:style w:type="character" w:styleId="a8">
    <w:name w:val="Hyperlink"/>
    <w:basedOn w:val="a0"/>
    <w:uiPriority w:val="99"/>
    <w:rsid w:val="004D6E7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nestrovskiy_YN@nrck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3</TotalTime>
  <Pages>1</Pages>
  <Words>391</Words>
  <Characters>2382</Characters>
  <Application>Microsoft Office Word</Application>
  <DocSecurity>0</DocSecurity>
  <Lines>51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of canonical profiles model for description of density evolution during ECRH in T-10 tokamak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2015-12-24T11:50:00Z</dcterms:created>
  <dcterms:modified xsi:type="dcterms:W3CDTF">2015-12-24T11:53:00Z</dcterms:modified>
</cp:coreProperties>
</file>